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19C" w:rsidRDefault="001337A1" w:rsidP="005974F4">
      <w:pPr>
        <w:spacing w:line="640" w:lineRule="exact"/>
        <w:jc w:val="center"/>
        <w:textAlignment w:val="baseline"/>
        <w:rPr>
          <w:rFonts w:ascii="Times" w:eastAsia="华文仿宋" w:hAnsi="Times" w:hint="eastAsia"/>
          <w:b/>
          <w:bCs/>
          <w:sz w:val="44"/>
        </w:rPr>
      </w:pPr>
      <w:bookmarkStart w:id="0" w:name="_Toc343438485"/>
      <w:r>
        <w:rPr>
          <w:rFonts w:ascii="宋体" w:hAnsi="宋体" w:hint="eastAsia"/>
          <w:b/>
          <w:bCs/>
          <w:noProof/>
          <w:sz w:val="44"/>
          <w:szCs w:val="44"/>
          <w:lang w:eastAsia="en-US"/>
        </w:rPr>
        <w:drawing>
          <wp:anchor distT="0" distB="0" distL="114300" distR="114300" simplePos="0" relativeHeight="251660288" behindDoc="0" locked="0" layoutInCell="1" allowOverlap="1" wp14:anchorId="21C577B3" wp14:editId="2F8DD68F">
            <wp:simplePos x="0" y="0"/>
            <wp:positionH relativeFrom="column">
              <wp:posOffset>-342900</wp:posOffset>
            </wp:positionH>
            <wp:positionV relativeFrom="paragraph">
              <wp:posOffset>-228600</wp:posOffset>
            </wp:positionV>
            <wp:extent cx="6484620" cy="9171940"/>
            <wp:effectExtent l="0" t="0" r="0" b="0"/>
            <wp:wrapTight wrapText="bothSides">
              <wp:wrapPolygon edited="0">
                <wp:start x="0" y="0"/>
                <wp:lineTo x="0" y="21534"/>
                <wp:lineTo x="21490" y="21534"/>
                <wp:lineTo x="21490"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封面.jpg"/>
                    <pic:cNvPicPr/>
                  </pic:nvPicPr>
                  <pic:blipFill>
                    <a:blip r:embed="rId9">
                      <a:extLst>
                        <a:ext uri="{28A0092B-C50C-407E-A947-70E740481C1C}">
                          <a14:useLocalDpi xmlns:a14="http://schemas.microsoft.com/office/drawing/2010/main" val="0"/>
                        </a:ext>
                      </a:extLst>
                    </a:blip>
                    <a:stretch>
                      <a:fillRect/>
                    </a:stretch>
                  </pic:blipFill>
                  <pic:spPr>
                    <a:xfrm>
                      <a:off x="0" y="0"/>
                      <a:ext cx="6484620" cy="9171940"/>
                    </a:xfrm>
                    <a:prstGeom prst="rect">
                      <a:avLst/>
                    </a:prstGeom>
                  </pic:spPr>
                </pic:pic>
              </a:graphicData>
            </a:graphic>
            <wp14:sizeRelH relativeFrom="page">
              <wp14:pctWidth>0</wp14:pctWidth>
            </wp14:sizeRelH>
            <wp14:sizeRelV relativeFrom="page">
              <wp14:pctHeight>0</wp14:pctHeight>
            </wp14:sizeRelV>
          </wp:anchor>
        </w:drawing>
      </w:r>
    </w:p>
    <w:p w:rsidR="00CA619C" w:rsidRPr="003F0105" w:rsidRDefault="00CA619C" w:rsidP="005974F4">
      <w:pPr>
        <w:pStyle w:val="Heading1"/>
        <w:keepNext w:val="0"/>
        <w:keepLines w:val="0"/>
        <w:widowControl/>
        <w:numPr>
          <w:ilvl w:val="0"/>
          <w:numId w:val="0"/>
        </w:numPr>
        <w:tabs>
          <w:tab w:val="left" w:pos="432"/>
        </w:tabs>
        <w:spacing w:beforeLines="50" w:before="156" w:afterLines="50" w:after="156" w:line="240" w:lineRule="auto"/>
        <w:jc w:val="center"/>
        <w:rPr>
          <w:rFonts w:ascii="宋体" w:hAnsi="宋体" w:hint="eastAsia"/>
          <w:szCs w:val="32"/>
        </w:rPr>
      </w:pPr>
      <w:r w:rsidRPr="003F0105">
        <w:rPr>
          <w:rFonts w:ascii="宋体" w:hAnsi="宋体" w:hint="eastAsia"/>
          <w:szCs w:val="32"/>
        </w:rPr>
        <w:lastRenderedPageBreak/>
        <w:t>项</w:t>
      </w:r>
      <w:r w:rsidRPr="003F0105">
        <w:rPr>
          <w:rFonts w:ascii="宋体" w:hAnsi="宋体"/>
          <w:szCs w:val="32"/>
        </w:rPr>
        <w:t>目信息</w:t>
      </w:r>
      <w:bookmarkEnd w:id="0"/>
    </w:p>
    <w:p w:rsidR="00CA619C" w:rsidRPr="0056079F" w:rsidRDefault="00CA619C" w:rsidP="00CA619C">
      <w:pPr>
        <w:rPr>
          <w:rFonts w:hint="eastAsia"/>
        </w:rPr>
      </w:pPr>
    </w:p>
    <w:p w:rsidR="00CA619C" w:rsidRDefault="00CA619C" w:rsidP="00CA619C">
      <w:pPr>
        <w:rPr>
          <w:rFonts w:ascii="宋体" w:hAnsi="宋体" w:cs="宋体" w:hint="eastAsia"/>
          <w:sz w:val="28"/>
          <w:szCs w:val="28"/>
        </w:rPr>
      </w:pPr>
      <w:r>
        <w:rPr>
          <w:rFonts w:ascii="宋体" w:hAnsi="宋体" w:cs="宋体"/>
          <w:b/>
          <w:sz w:val="28"/>
          <w:szCs w:val="28"/>
        </w:rPr>
        <w:t>项目编号</w:t>
      </w:r>
      <w:r>
        <w:rPr>
          <w:rFonts w:ascii="宋体" w:hAnsi="宋体" w:cs="宋体" w:hint="eastAsia"/>
          <w:b/>
          <w:sz w:val="28"/>
          <w:szCs w:val="28"/>
        </w:rPr>
        <w:t>：</w:t>
      </w:r>
      <w:r>
        <w:rPr>
          <w:rFonts w:ascii="宋体" w:hAnsi="宋体" w:cs="宋体"/>
          <w:sz w:val="28"/>
          <w:szCs w:val="28"/>
        </w:rPr>
        <w:t>G-1207-16457</w:t>
      </w:r>
    </w:p>
    <w:p w:rsidR="00CA619C" w:rsidRDefault="00CA619C" w:rsidP="00CA619C">
      <w:pPr>
        <w:rPr>
          <w:rFonts w:ascii="宋体" w:hAnsi="宋体" w:cs="宋体" w:hint="eastAsia"/>
          <w:sz w:val="28"/>
          <w:szCs w:val="28"/>
        </w:rPr>
      </w:pPr>
      <w:r>
        <w:rPr>
          <w:rFonts w:ascii="宋体" w:hAnsi="宋体" w:cs="宋体"/>
          <w:b/>
          <w:sz w:val="28"/>
          <w:szCs w:val="28"/>
        </w:rPr>
        <w:t>项</w:t>
      </w:r>
      <w:r>
        <w:rPr>
          <w:rFonts w:ascii="宋体" w:hAnsi="宋体" w:cs="宋体" w:hint="eastAsia"/>
          <w:b/>
          <w:sz w:val="28"/>
          <w:szCs w:val="28"/>
        </w:rPr>
        <w:t xml:space="preserve"> </w:t>
      </w:r>
      <w:r>
        <w:rPr>
          <w:rFonts w:ascii="宋体" w:hAnsi="宋体" w:cs="宋体"/>
          <w:b/>
          <w:sz w:val="28"/>
          <w:szCs w:val="28"/>
        </w:rPr>
        <w:t>目</w:t>
      </w:r>
      <w:r>
        <w:rPr>
          <w:rFonts w:ascii="宋体" w:hAnsi="宋体" w:cs="宋体" w:hint="eastAsia"/>
          <w:b/>
          <w:sz w:val="28"/>
          <w:szCs w:val="28"/>
        </w:rPr>
        <w:t xml:space="preserve"> </w:t>
      </w:r>
      <w:r>
        <w:rPr>
          <w:rFonts w:ascii="宋体" w:hAnsi="宋体" w:cs="宋体"/>
          <w:b/>
          <w:sz w:val="28"/>
          <w:szCs w:val="28"/>
        </w:rPr>
        <w:t>期</w:t>
      </w:r>
      <w:r>
        <w:rPr>
          <w:rFonts w:ascii="宋体" w:hAnsi="宋体" w:cs="宋体" w:hint="eastAsia"/>
          <w:b/>
          <w:sz w:val="28"/>
          <w:szCs w:val="28"/>
        </w:rPr>
        <w:t>:</w:t>
      </w:r>
      <w:r>
        <w:rPr>
          <w:rFonts w:ascii="宋体" w:hAnsi="宋体" w:cs="宋体"/>
          <w:b/>
          <w:sz w:val="28"/>
          <w:szCs w:val="28"/>
        </w:rPr>
        <w:t xml:space="preserve"> </w:t>
      </w:r>
      <w:r>
        <w:rPr>
          <w:rFonts w:ascii="宋体" w:hAnsi="宋体" w:cs="宋体"/>
          <w:sz w:val="28"/>
          <w:szCs w:val="28"/>
        </w:rPr>
        <w:t>07/01/2012 - 06/30/2013</w:t>
      </w:r>
    </w:p>
    <w:p w:rsidR="00CA619C" w:rsidRDefault="00CA619C" w:rsidP="00CA619C">
      <w:pPr>
        <w:rPr>
          <w:rFonts w:ascii="宋体" w:hAnsi="宋体" w:cs="宋体" w:hint="eastAsia"/>
          <w:sz w:val="28"/>
          <w:szCs w:val="28"/>
        </w:rPr>
      </w:pPr>
      <w:r>
        <w:rPr>
          <w:rFonts w:ascii="宋体" w:hAnsi="宋体" w:cs="宋体"/>
          <w:b/>
          <w:sz w:val="28"/>
          <w:szCs w:val="28"/>
        </w:rPr>
        <w:t>所属领域:</w:t>
      </w:r>
      <w:r>
        <w:rPr>
          <w:rFonts w:ascii="宋体" w:hAnsi="宋体" w:cs="宋体" w:hint="eastAsia"/>
          <w:b/>
          <w:sz w:val="28"/>
          <w:szCs w:val="28"/>
        </w:rPr>
        <w:t xml:space="preserve"> </w:t>
      </w:r>
      <w:r>
        <w:rPr>
          <w:rFonts w:ascii="宋体" w:hAnsi="宋体" w:cs="宋体" w:hint="eastAsia"/>
          <w:sz w:val="28"/>
          <w:szCs w:val="28"/>
        </w:rPr>
        <w:t>新兴能源产业</w:t>
      </w:r>
    </w:p>
    <w:p w:rsidR="00CA619C" w:rsidRDefault="00CA619C" w:rsidP="00CA619C">
      <w:pPr>
        <w:ind w:left="1551" w:hangingChars="512" w:hanging="1551"/>
        <w:rPr>
          <w:rFonts w:ascii="宋体" w:hAnsi="宋体" w:cs="宋体" w:hint="eastAsia"/>
          <w:sz w:val="28"/>
          <w:szCs w:val="28"/>
        </w:rPr>
      </w:pPr>
      <w:r>
        <w:rPr>
          <w:rFonts w:ascii="宋体" w:hAnsi="宋体" w:cs="宋体"/>
          <w:b/>
          <w:sz w:val="28"/>
          <w:szCs w:val="28"/>
        </w:rPr>
        <w:t>项目概述:</w:t>
      </w:r>
      <w:r>
        <w:rPr>
          <w:rFonts w:hint="eastAsia"/>
          <w:sz w:val="28"/>
          <w:szCs w:val="28"/>
        </w:rPr>
        <w:t xml:space="preserve"> </w:t>
      </w:r>
      <w:r>
        <w:rPr>
          <w:rFonts w:ascii="宋体" w:hAnsi="宋体" w:cs="宋体" w:hint="eastAsia"/>
          <w:sz w:val="28"/>
          <w:szCs w:val="28"/>
        </w:rPr>
        <w:t>本项目基于对新兴能源产业特征的分析，围绕风电、光伏、储能和页岩气这四个新兴能源产业，在调查研究美国新兴能源产业技术创新支撑体系与政策的基础上，重点分析了我国新兴能源产业技术创新支撑体系现状及存在的问题；同时，借鉴美国经验提出构建一个</w:t>
      </w:r>
      <w:r w:rsidRPr="0058432C">
        <w:rPr>
          <w:rFonts w:ascii="宋体" w:hAnsi="宋体" w:cs="宋体" w:hint="eastAsia"/>
          <w:sz w:val="28"/>
          <w:szCs w:val="28"/>
        </w:rPr>
        <w:t>三维</w:t>
      </w:r>
      <w:r>
        <w:rPr>
          <w:rFonts w:ascii="宋体" w:hAnsi="宋体" w:cs="宋体" w:hint="eastAsia"/>
          <w:sz w:val="28"/>
          <w:szCs w:val="28"/>
        </w:rPr>
        <w:t>立体的我国</w:t>
      </w:r>
      <w:r w:rsidRPr="0058432C">
        <w:rPr>
          <w:rFonts w:ascii="宋体" w:hAnsi="宋体" w:cs="宋体" w:hint="eastAsia"/>
          <w:sz w:val="28"/>
          <w:szCs w:val="28"/>
        </w:rPr>
        <w:t>新兴能源产业技术创新支撑体系</w:t>
      </w:r>
      <w:r>
        <w:rPr>
          <w:rFonts w:ascii="宋体" w:hAnsi="宋体" w:cs="宋体" w:hint="eastAsia"/>
          <w:sz w:val="28"/>
          <w:szCs w:val="28"/>
        </w:rPr>
        <w:t>的</w:t>
      </w:r>
      <w:r w:rsidRPr="0058432C">
        <w:rPr>
          <w:rFonts w:ascii="宋体" w:hAnsi="宋体" w:cs="宋体" w:hint="eastAsia"/>
          <w:sz w:val="28"/>
          <w:szCs w:val="28"/>
        </w:rPr>
        <w:t>基本</w:t>
      </w:r>
      <w:r>
        <w:rPr>
          <w:rFonts w:ascii="宋体" w:hAnsi="宋体" w:cs="宋体" w:hint="eastAsia"/>
          <w:sz w:val="28"/>
          <w:szCs w:val="28"/>
        </w:rPr>
        <w:t>设想与</w:t>
      </w:r>
      <w:r w:rsidRPr="0058432C">
        <w:rPr>
          <w:rFonts w:ascii="宋体" w:hAnsi="宋体" w:cs="宋体" w:hint="eastAsia"/>
          <w:sz w:val="28"/>
          <w:szCs w:val="28"/>
        </w:rPr>
        <w:t>框架</w:t>
      </w:r>
      <w:r>
        <w:rPr>
          <w:rFonts w:ascii="宋体" w:hAnsi="宋体" w:cs="宋体" w:hint="eastAsia"/>
          <w:sz w:val="28"/>
          <w:szCs w:val="28"/>
        </w:rPr>
        <w:t>，并最终从完善我国创新技术供给、创新技术产业化路径，以及技术创新服务等要素角度提出具体的可操作的政策建议，以及促进新兴能源产业发展的政策环境建议，供国家决策参考。</w:t>
      </w:r>
    </w:p>
    <w:p w:rsidR="00CA619C" w:rsidRPr="0056079F" w:rsidRDefault="00CA619C" w:rsidP="00CA619C">
      <w:pPr>
        <w:rPr>
          <w:rFonts w:ascii="宋体" w:hAnsi="宋体" w:cs="宋体" w:hint="eastAsia"/>
          <w:szCs w:val="21"/>
        </w:rPr>
      </w:pPr>
    </w:p>
    <w:p w:rsidR="00CA619C" w:rsidRDefault="00CA619C" w:rsidP="00CA619C">
      <w:pPr>
        <w:rPr>
          <w:rFonts w:ascii="宋体" w:hAnsi="宋体" w:cs="宋体" w:hint="eastAsia"/>
          <w:sz w:val="28"/>
          <w:szCs w:val="28"/>
        </w:rPr>
      </w:pPr>
      <w:r>
        <w:rPr>
          <w:rFonts w:ascii="宋体" w:hAnsi="宋体" w:cs="宋体" w:hint="eastAsia"/>
          <w:b/>
          <w:sz w:val="28"/>
          <w:szCs w:val="28"/>
        </w:rPr>
        <w:t>报告执笔</w:t>
      </w:r>
      <w:r>
        <w:rPr>
          <w:rFonts w:ascii="宋体" w:hAnsi="宋体" w:cs="宋体"/>
          <w:b/>
          <w:sz w:val="28"/>
          <w:szCs w:val="28"/>
        </w:rPr>
        <w:t>：</w:t>
      </w:r>
      <w:r>
        <w:rPr>
          <w:rFonts w:ascii="宋体" w:hAnsi="宋体" w:cs="宋体" w:hint="eastAsia"/>
          <w:b/>
          <w:sz w:val="28"/>
          <w:szCs w:val="28"/>
        </w:rPr>
        <w:t xml:space="preserve"> </w:t>
      </w:r>
      <w:r>
        <w:rPr>
          <w:rFonts w:ascii="宋体" w:hAnsi="宋体" w:cs="宋体" w:hint="eastAsia"/>
          <w:sz w:val="28"/>
          <w:szCs w:val="28"/>
        </w:rPr>
        <w:t>张永伟   国务院发展研究中心    研究员</w:t>
      </w:r>
    </w:p>
    <w:p w:rsidR="00CA619C" w:rsidRDefault="00CA619C" w:rsidP="00CA619C">
      <w:pPr>
        <w:ind w:firstLineChars="546" w:firstLine="1529"/>
        <w:rPr>
          <w:rFonts w:ascii="宋体" w:hAnsi="宋体" w:cs="宋体" w:hint="eastAsia"/>
          <w:sz w:val="28"/>
          <w:szCs w:val="28"/>
        </w:rPr>
      </w:pPr>
      <w:r>
        <w:rPr>
          <w:rFonts w:ascii="宋体" w:hAnsi="宋体" w:cs="宋体" w:hint="eastAsia"/>
          <w:sz w:val="28"/>
          <w:szCs w:val="28"/>
        </w:rPr>
        <w:t>张葵叶   中国能源网研究中心    研究员</w:t>
      </w:r>
    </w:p>
    <w:p w:rsidR="00CA619C" w:rsidRDefault="00CA619C" w:rsidP="00CA619C">
      <w:pPr>
        <w:ind w:firstLineChars="546" w:firstLine="1529"/>
        <w:rPr>
          <w:rFonts w:ascii="宋体" w:hAnsi="宋体" w:cs="宋体" w:hint="eastAsia"/>
          <w:sz w:val="28"/>
          <w:szCs w:val="28"/>
        </w:rPr>
      </w:pPr>
      <w:r>
        <w:rPr>
          <w:rFonts w:ascii="宋体" w:hAnsi="宋体" w:cs="宋体" w:hint="eastAsia"/>
          <w:sz w:val="28"/>
          <w:szCs w:val="28"/>
        </w:rPr>
        <w:t>王鸿雁   中国能源网研究中心    研究员</w:t>
      </w:r>
    </w:p>
    <w:p w:rsidR="00CA619C" w:rsidRDefault="00CA619C" w:rsidP="00CA619C">
      <w:pPr>
        <w:ind w:firstLineChars="546" w:firstLine="1529"/>
        <w:rPr>
          <w:rFonts w:ascii="宋体" w:hAnsi="宋体" w:cs="宋体" w:hint="eastAsia"/>
          <w:sz w:val="28"/>
          <w:szCs w:val="28"/>
        </w:rPr>
      </w:pPr>
      <w:r w:rsidRPr="00B51165">
        <w:rPr>
          <w:rFonts w:ascii="宋体" w:hAnsi="宋体" w:cs="宋体" w:hint="eastAsia"/>
          <w:sz w:val="28"/>
          <w:szCs w:val="28"/>
        </w:rPr>
        <w:t>Joanna Lewis</w:t>
      </w:r>
      <w:r>
        <w:rPr>
          <w:rFonts w:ascii="宋体" w:hAnsi="宋体" w:cs="宋体" w:hint="eastAsia"/>
          <w:sz w:val="28"/>
          <w:szCs w:val="28"/>
        </w:rPr>
        <w:t xml:space="preserve">  </w:t>
      </w:r>
      <w:r w:rsidRPr="00B51165">
        <w:rPr>
          <w:rFonts w:ascii="宋体" w:hAnsi="宋体" w:cs="宋体" w:hint="eastAsia"/>
          <w:sz w:val="28"/>
          <w:szCs w:val="28"/>
        </w:rPr>
        <w:t>乔治敦大学</w:t>
      </w:r>
      <w:r>
        <w:rPr>
          <w:rFonts w:ascii="宋体" w:hAnsi="宋体" w:cs="宋体" w:hint="eastAsia"/>
          <w:sz w:val="28"/>
          <w:szCs w:val="28"/>
        </w:rPr>
        <w:t xml:space="preserve">       教  授</w:t>
      </w:r>
    </w:p>
    <w:p w:rsidR="00CA619C" w:rsidRPr="0056079F" w:rsidRDefault="00CA619C" w:rsidP="00CA619C">
      <w:pPr>
        <w:rPr>
          <w:rFonts w:ascii="宋体" w:hAnsi="宋体" w:cs="宋体" w:hint="eastAsia"/>
          <w:szCs w:val="21"/>
        </w:rPr>
      </w:pPr>
    </w:p>
    <w:p w:rsidR="00CA619C" w:rsidRDefault="00CA619C" w:rsidP="00CA619C">
      <w:pPr>
        <w:rPr>
          <w:rFonts w:ascii="宋体" w:hAnsi="宋体" w:cs="宋体" w:hint="eastAsia"/>
          <w:sz w:val="28"/>
          <w:szCs w:val="28"/>
        </w:rPr>
      </w:pPr>
      <w:r>
        <w:rPr>
          <w:rFonts w:ascii="宋体" w:hAnsi="宋体" w:cs="宋体"/>
          <w:b/>
          <w:sz w:val="28"/>
          <w:szCs w:val="28"/>
        </w:rPr>
        <w:t>关键词:</w:t>
      </w:r>
      <w:r>
        <w:rPr>
          <w:rFonts w:ascii="宋体" w:hAnsi="宋体" w:cs="宋体" w:hint="eastAsia"/>
          <w:sz w:val="28"/>
          <w:szCs w:val="28"/>
        </w:rPr>
        <w:t xml:space="preserve"> 新兴能源、技术创新支撑体系、技术创新供给、</w:t>
      </w:r>
    </w:p>
    <w:p w:rsidR="00CA619C" w:rsidRDefault="00CA619C" w:rsidP="00CA619C">
      <w:pPr>
        <w:ind w:firstLineChars="400" w:firstLine="1120"/>
        <w:rPr>
          <w:rFonts w:ascii="宋体" w:hAnsi="宋体" w:hint="eastAsia"/>
          <w:b/>
          <w:bCs/>
          <w:sz w:val="44"/>
          <w:szCs w:val="44"/>
        </w:rPr>
      </w:pPr>
      <w:r>
        <w:rPr>
          <w:rFonts w:ascii="宋体" w:hAnsi="宋体" w:cs="宋体" w:hint="eastAsia"/>
          <w:sz w:val="28"/>
          <w:szCs w:val="28"/>
        </w:rPr>
        <w:t>创新技术产业化、技术创新服务、政策</w:t>
      </w:r>
    </w:p>
    <w:p w:rsidR="00CA619C" w:rsidRDefault="00CA619C" w:rsidP="00CA619C">
      <w:pPr>
        <w:spacing w:line="640" w:lineRule="exact"/>
        <w:jc w:val="center"/>
        <w:textAlignment w:val="baseline"/>
        <w:rPr>
          <w:rFonts w:ascii="宋体" w:hAnsi="宋体" w:hint="eastAsia"/>
          <w:b/>
          <w:bCs/>
          <w:sz w:val="44"/>
          <w:szCs w:val="44"/>
        </w:rPr>
      </w:pPr>
    </w:p>
    <w:p w:rsidR="00CA619C" w:rsidRDefault="00CA619C" w:rsidP="00CA619C">
      <w:pPr>
        <w:spacing w:line="640" w:lineRule="exact"/>
        <w:jc w:val="center"/>
        <w:textAlignment w:val="baseline"/>
        <w:rPr>
          <w:rFonts w:ascii="宋体" w:hAnsi="宋体" w:hint="eastAsia"/>
          <w:b/>
          <w:bCs/>
          <w:sz w:val="32"/>
          <w:szCs w:val="32"/>
        </w:rPr>
        <w:sectPr w:rsidR="00CA619C">
          <w:headerReference w:type="even" r:id="rId10"/>
          <w:headerReference w:type="default" r:id="rId11"/>
          <w:footerReference w:type="even" r:id="rId12"/>
          <w:footerReference w:type="default" r:id="rId13"/>
          <w:headerReference w:type="first" r:id="rId14"/>
          <w:footerReference w:type="first" r:id="rId15"/>
          <w:pgSz w:w="11906" w:h="16838"/>
          <w:pgMar w:top="1361" w:right="1474" w:bottom="1361" w:left="1474" w:header="851" w:footer="567" w:gutter="0"/>
          <w:pgNumType w:fmt="upperRoman" w:start="1"/>
          <w:cols w:space="720"/>
          <w:docGrid w:type="linesAndChars" w:linePitch="312"/>
        </w:sectPr>
      </w:pPr>
    </w:p>
    <w:p w:rsidR="00CA619C" w:rsidRDefault="00CA619C" w:rsidP="00CA619C">
      <w:pPr>
        <w:pStyle w:val="Heading1"/>
        <w:numPr>
          <w:ilvl w:val="0"/>
          <w:numId w:val="0"/>
        </w:numPr>
        <w:jc w:val="center"/>
        <w:rPr>
          <w:rFonts w:hint="eastAsia"/>
        </w:rPr>
      </w:pPr>
      <w:bookmarkStart w:id="1" w:name="_Toc392853098"/>
      <w:r>
        <w:rPr>
          <w:rFonts w:hint="eastAsia"/>
        </w:rPr>
        <w:t>目</w:t>
      </w:r>
      <w:r>
        <w:rPr>
          <w:rFonts w:hint="eastAsia"/>
        </w:rPr>
        <w:t xml:space="preserve">  </w:t>
      </w:r>
      <w:r>
        <w:rPr>
          <w:rFonts w:hint="eastAsia"/>
        </w:rPr>
        <w:t>录</w:t>
      </w:r>
      <w:bookmarkEnd w:id="1"/>
    </w:p>
    <w:p w:rsidR="00CA619C" w:rsidRDefault="00CA619C" w:rsidP="00CA619C">
      <w:pPr>
        <w:ind w:firstLine="480"/>
        <w:rPr>
          <w:rFonts w:hint="eastAsia"/>
          <w:szCs w:val="24"/>
        </w:rPr>
      </w:pPr>
    </w:p>
    <w:p w:rsidR="00CA619C" w:rsidRPr="004A3204" w:rsidRDefault="00CA619C" w:rsidP="00CA619C">
      <w:pPr>
        <w:pStyle w:val="TOC1"/>
        <w:tabs>
          <w:tab w:val="right" w:leader="dot" w:pos="8948"/>
        </w:tabs>
        <w:spacing w:line="426" w:lineRule="exact"/>
        <w:ind w:firstLine="480"/>
        <w:rPr>
          <w:noProof/>
          <w:szCs w:val="24"/>
        </w:rPr>
      </w:pPr>
      <w:r w:rsidRPr="004A3204">
        <w:rPr>
          <w:szCs w:val="24"/>
        </w:rPr>
        <w:fldChar w:fldCharType="begin"/>
      </w:r>
      <w:r w:rsidRPr="004A3204">
        <w:rPr>
          <w:szCs w:val="24"/>
        </w:rPr>
        <w:instrText xml:space="preserve"> </w:instrText>
      </w:r>
      <w:r w:rsidRPr="004A3204">
        <w:rPr>
          <w:rFonts w:hint="eastAsia"/>
          <w:szCs w:val="24"/>
        </w:rPr>
        <w:instrText>TOC \o "1-3" \h \z \u</w:instrText>
      </w:r>
      <w:r w:rsidRPr="004A3204">
        <w:rPr>
          <w:szCs w:val="24"/>
        </w:rPr>
        <w:instrText xml:space="preserve"> </w:instrText>
      </w:r>
      <w:r w:rsidRPr="004A3204">
        <w:rPr>
          <w:szCs w:val="24"/>
        </w:rPr>
        <w:fldChar w:fldCharType="separate"/>
      </w:r>
      <w:hyperlink w:anchor="_Toc392853098" w:history="1">
        <w:r w:rsidRPr="004A3204">
          <w:rPr>
            <w:rStyle w:val="Hyperlink"/>
            <w:rFonts w:hint="eastAsia"/>
            <w:noProof/>
            <w:sz w:val="24"/>
            <w:szCs w:val="24"/>
          </w:rPr>
          <w:t>目</w:t>
        </w:r>
        <w:r w:rsidRPr="004A3204">
          <w:rPr>
            <w:rStyle w:val="Hyperlink"/>
            <w:noProof/>
            <w:sz w:val="24"/>
            <w:szCs w:val="24"/>
          </w:rPr>
          <w:t xml:space="preserve">  </w:t>
        </w:r>
        <w:r w:rsidRPr="004A3204">
          <w:rPr>
            <w:rStyle w:val="Hyperlink"/>
            <w:rFonts w:hint="eastAsia"/>
            <w:noProof/>
            <w:sz w:val="24"/>
            <w:szCs w:val="24"/>
          </w:rPr>
          <w:t>录</w:t>
        </w:r>
        <w:r w:rsidRPr="004A3204">
          <w:rPr>
            <w:noProof/>
            <w:webHidden/>
            <w:szCs w:val="24"/>
          </w:rPr>
          <w:tab/>
        </w:r>
        <w:r w:rsidRPr="004A3204">
          <w:rPr>
            <w:noProof/>
            <w:webHidden/>
            <w:szCs w:val="24"/>
          </w:rPr>
          <w:fldChar w:fldCharType="begin"/>
        </w:r>
        <w:r w:rsidRPr="004A3204">
          <w:rPr>
            <w:noProof/>
            <w:webHidden/>
            <w:szCs w:val="24"/>
          </w:rPr>
          <w:instrText xml:space="preserve"> PAGEREF _Toc392853098 \h </w:instrText>
        </w:r>
        <w:r w:rsidRPr="004A3204">
          <w:rPr>
            <w:noProof/>
            <w:szCs w:val="24"/>
          </w:rPr>
        </w:r>
        <w:r w:rsidRPr="004A3204">
          <w:rPr>
            <w:noProof/>
            <w:webHidden/>
            <w:szCs w:val="24"/>
          </w:rPr>
          <w:fldChar w:fldCharType="separate"/>
        </w:r>
        <w:r w:rsidR="00F513CF">
          <w:rPr>
            <w:noProof/>
            <w:webHidden/>
            <w:szCs w:val="24"/>
          </w:rPr>
          <w:t>I</w:t>
        </w:r>
        <w:r w:rsidRPr="004A3204">
          <w:rPr>
            <w:noProof/>
            <w:webHidden/>
            <w:szCs w:val="24"/>
          </w:rPr>
          <w:fldChar w:fldCharType="end"/>
        </w:r>
      </w:hyperlink>
    </w:p>
    <w:p w:rsidR="00CA619C" w:rsidRPr="004A3204" w:rsidRDefault="00CA619C" w:rsidP="00CA619C">
      <w:pPr>
        <w:pStyle w:val="TOC1"/>
        <w:tabs>
          <w:tab w:val="right" w:leader="dot" w:pos="8948"/>
        </w:tabs>
        <w:spacing w:line="426" w:lineRule="exact"/>
        <w:ind w:firstLine="480"/>
        <w:rPr>
          <w:noProof/>
          <w:szCs w:val="24"/>
        </w:rPr>
      </w:pPr>
      <w:hyperlink w:anchor="_Toc392853099" w:history="1">
        <w:r w:rsidRPr="004A3204">
          <w:rPr>
            <w:rStyle w:val="Hyperlink"/>
            <w:rFonts w:ascii="Calibri Light" w:hAnsi="Calibri Light" w:hint="eastAsia"/>
            <w:noProof/>
            <w:kern w:val="0"/>
            <w:sz w:val="24"/>
            <w:szCs w:val="24"/>
            <w:lang w:val="zh-CN"/>
          </w:rPr>
          <w:t>图目录</w:t>
        </w:r>
        <w:r w:rsidRPr="004A3204">
          <w:rPr>
            <w:noProof/>
            <w:webHidden/>
            <w:szCs w:val="24"/>
          </w:rPr>
          <w:tab/>
        </w:r>
        <w:r w:rsidRPr="004A3204">
          <w:rPr>
            <w:noProof/>
            <w:webHidden/>
            <w:szCs w:val="24"/>
          </w:rPr>
          <w:fldChar w:fldCharType="begin"/>
        </w:r>
        <w:r w:rsidRPr="004A3204">
          <w:rPr>
            <w:noProof/>
            <w:webHidden/>
            <w:szCs w:val="24"/>
          </w:rPr>
          <w:instrText xml:space="preserve"> PAGEREF _Toc392853099 \h </w:instrText>
        </w:r>
        <w:r w:rsidRPr="004A3204">
          <w:rPr>
            <w:noProof/>
            <w:szCs w:val="24"/>
          </w:rPr>
        </w:r>
        <w:r w:rsidRPr="004A3204">
          <w:rPr>
            <w:noProof/>
            <w:webHidden/>
            <w:szCs w:val="24"/>
          </w:rPr>
          <w:fldChar w:fldCharType="separate"/>
        </w:r>
        <w:r w:rsidR="00F513CF">
          <w:rPr>
            <w:noProof/>
            <w:webHidden/>
            <w:szCs w:val="24"/>
          </w:rPr>
          <w:t>IV</w:t>
        </w:r>
        <w:r w:rsidRPr="004A3204">
          <w:rPr>
            <w:noProof/>
            <w:webHidden/>
            <w:szCs w:val="24"/>
          </w:rPr>
          <w:fldChar w:fldCharType="end"/>
        </w:r>
      </w:hyperlink>
    </w:p>
    <w:p w:rsidR="00CA619C" w:rsidRPr="004A3204" w:rsidRDefault="00CA619C" w:rsidP="00CA619C">
      <w:pPr>
        <w:pStyle w:val="TOC1"/>
        <w:tabs>
          <w:tab w:val="right" w:leader="dot" w:pos="8948"/>
        </w:tabs>
        <w:spacing w:line="426" w:lineRule="exact"/>
        <w:ind w:firstLine="480"/>
        <w:rPr>
          <w:noProof/>
          <w:szCs w:val="24"/>
        </w:rPr>
      </w:pPr>
      <w:hyperlink w:anchor="_Toc392853100" w:history="1">
        <w:r w:rsidRPr="004A3204">
          <w:rPr>
            <w:rStyle w:val="Hyperlink"/>
            <w:rFonts w:hint="eastAsia"/>
            <w:noProof/>
            <w:sz w:val="24"/>
            <w:szCs w:val="24"/>
            <w:lang w:val="zh-CN"/>
          </w:rPr>
          <w:t>表目录</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_Toc392853100 \h </w:instrText>
        </w:r>
        <w:r w:rsidRPr="004A3204">
          <w:rPr>
            <w:noProof/>
            <w:szCs w:val="24"/>
          </w:rPr>
        </w:r>
        <w:r w:rsidRPr="004A3204">
          <w:rPr>
            <w:noProof/>
            <w:webHidden/>
            <w:szCs w:val="24"/>
          </w:rPr>
          <w:fldChar w:fldCharType="separate"/>
        </w:r>
        <w:r w:rsidR="00F513CF">
          <w:rPr>
            <w:noProof/>
            <w:webHidden/>
            <w:szCs w:val="24"/>
          </w:rPr>
          <w:t>V</w:t>
        </w:r>
        <w:r w:rsidRPr="004A3204">
          <w:rPr>
            <w:noProof/>
            <w:webHidden/>
            <w:szCs w:val="24"/>
          </w:rPr>
          <w:fldChar w:fldCharType="end"/>
        </w:r>
      </w:hyperlink>
    </w:p>
    <w:p w:rsidR="00CA619C" w:rsidRPr="004A3204" w:rsidRDefault="00CA619C" w:rsidP="00CA619C">
      <w:pPr>
        <w:pStyle w:val="TOC1"/>
        <w:tabs>
          <w:tab w:val="right" w:leader="dot" w:pos="8948"/>
        </w:tabs>
        <w:spacing w:line="426" w:lineRule="exact"/>
        <w:ind w:firstLine="480"/>
        <w:rPr>
          <w:noProof/>
          <w:szCs w:val="24"/>
        </w:rPr>
      </w:pPr>
      <w:hyperlink w:anchor="_Toc392853101" w:history="1">
        <w:r w:rsidRPr="004A3204">
          <w:rPr>
            <w:rStyle w:val="Hyperlink"/>
            <w:rFonts w:hint="eastAsia"/>
            <w:noProof/>
            <w:sz w:val="24"/>
            <w:szCs w:val="24"/>
          </w:rPr>
          <w:t>前</w:t>
        </w:r>
        <w:r w:rsidRPr="004A3204">
          <w:rPr>
            <w:rStyle w:val="Hyperlink"/>
            <w:noProof/>
            <w:sz w:val="24"/>
            <w:szCs w:val="24"/>
          </w:rPr>
          <w:t xml:space="preserve">  </w:t>
        </w:r>
        <w:r w:rsidRPr="004A3204">
          <w:rPr>
            <w:rStyle w:val="Hyperlink"/>
            <w:rFonts w:hint="eastAsia"/>
            <w:noProof/>
            <w:sz w:val="24"/>
            <w:szCs w:val="24"/>
          </w:rPr>
          <w:t>言</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_Toc392853101 \h </w:instrText>
        </w:r>
        <w:r w:rsidRPr="004A3204">
          <w:rPr>
            <w:noProof/>
            <w:szCs w:val="24"/>
          </w:rPr>
        </w:r>
        <w:r w:rsidRPr="004A3204">
          <w:rPr>
            <w:noProof/>
            <w:webHidden/>
            <w:szCs w:val="24"/>
          </w:rPr>
          <w:fldChar w:fldCharType="separate"/>
        </w:r>
        <w:r w:rsidR="00F513CF">
          <w:rPr>
            <w:noProof/>
            <w:webHidden/>
            <w:szCs w:val="24"/>
          </w:rPr>
          <w:t>1</w:t>
        </w:r>
        <w:r w:rsidRPr="004A3204">
          <w:rPr>
            <w:noProof/>
            <w:webHidden/>
            <w:szCs w:val="24"/>
          </w:rPr>
          <w:fldChar w:fldCharType="end"/>
        </w:r>
      </w:hyperlink>
    </w:p>
    <w:p w:rsidR="00CA619C" w:rsidRPr="004A3204" w:rsidRDefault="00CA619C" w:rsidP="00CA619C">
      <w:pPr>
        <w:pStyle w:val="TOC1"/>
        <w:tabs>
          <w:tab w:val="left" w:pos="1260"/>
          <w:tab w:val="right" w:leader="dot" w:pos="8948"/>
        </w:tabs>
        <w:spacing w:line="426" w:lineRule="exact"/>
        <w:ind w:firstLine="480"/>
        <w:rPr>
          <w:noProof/>
          <w:szCs w:val="24"/>
        </w:rPr>
      </w:pPr>
      <w:hyperlink w:anchor="_Toc392853102" w:history="1">
        <w:r w:rsidRPr="004A3204">
          <w:rPr>
            <w:rStyle w:val="Hyperlink"/>
            <w:noProof/>
            <w:sz w:val="24"/>
            <w:szCs w:val="24"/>
          </w:rPr>
          <w:t>1.</w:t>
        </w:r>
        <w:r w:rsidRPr="004A3204">
          <w:rPr>
            <w:noProof/>
            <w:szCs w:val="24"/>
          </w:rPr>
          <w:tab/>
        </w:r>
        <w:r w:rsidRPr="004A3204">
          <w:rPr>
            <w:rStyle w:val="Hyperlink"/>
            <w:rFonts w:hint="eastAsia"/>
            <w:noProof/>
            <w:sz w:val="24"/>
            <w:szCs w:val="24"/>
          </w:rPr>
          <w:t>新兴能源产业特征</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_Toc392853102 \h </w:instrText>
        </w:r>
        <w:r w:rsidRPr="004A3204">
          <w:rPr>
            <w:noProof/>
            <w:szCs w:val="24"/>
          </w:rPr>
        </w:r>
        <w:r w:rsidRPr="004A3204">
          <w:rPr>
            <w:noProof/>
            <w:webHidden/>
            <w:szCs w:val="24"/>
          </w:rPr>
          <w:fldChar w:fldCharType="separate"/>
        </w:r>
        <w:r w:rsidR="00F513CF">
          <w:rPr>
            <w:noProof/>
            <w:webHidden/>
            <w:szCs w:val="24"/>
          </w:rPr>
          <w:t>2</w:t>
        </w:r>
        <w:r w:rsidRPr="004A3204">
          <w:rPr>
            <w:noProof/>
            <w:webHidden/>
            <w:szCs w:val="24"/>
          </w:rPr>
          <w:fldChar w:fldCharType="end"/>
        </w:r>
      </w:hyperlink>
    </w:p>
    <w:p w:rsidR="00CA619C" w:rsidRPr="004A3204" w:rsidRDefault="00CA619C" w:rsidP="00CA619C">
      <w:pPr>
        <w:pStyle w:val="TOC2"/>
        <w:tabs>
          <w:tab w:val="left" w:pos="1680"/>
          <w:tab w:val="right" w:leader="dot" w:pos="8948"/>
        </w:tabs>
        <w:spacing w:line="426" w:lineRule="exact"/>
        <w:ind w:firstLine="480"/>
        <w:rPr>
          <w:noProof/>
          <w:szCs w:val="24"/>
        </w:rPr>
      </w:pPr>
      <w:hyperlink w:anchor="_Toc392853103" w:history="1">
        <w:r w:rsidRPr="004A3204">
          <w:rPr>
            <w:rStyle w:val="Hyperlink"/>
            <w:noProof/>
            <w:sz w:val="24"/>
            <w:szCs w:val="24"/>
          </w:rPr>
          <w:t>1.1.</w:t>
        </w:r>
        <w:r w:rsidRPr="004A3204">
          <w:rPr>
            <w:noProof/>
            <w:szCs w:val="24"/>
          </w:rPr>
          <w:tab/>
        </w:r>
        <w:r w:rsidRPr="004A3204">
          <w:rPr>
            <w:rStyle w:val="Hyperlink"/>
            <w:rFonts w:hint="eastAsia"/>
            <w:noProof/>
            <w:sz w:val="24"/>
            <w:szCs w:val="24"/>
          </w:rPr>
          <w:t>高技术、高资本密集，高度依赖技术创新及技术进步</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_Toc392853103 \h </w:instrText>
        </w:r>
        <w:r w:rsidRPr="004A3204">
          <w:rPr>
            <w:noProof/>
            <w:szCs w:val="24"/>
          </w:rPr>
        </w:r>
        <w:r w:rsidRPr="004A3204">
          <w:rPr>
            <w:noProof/>
            <w:webHidden/>
            <w:szCs w:val="24"/>
          </w:rPr>
          <w:fldChar w:fldCharType="separate"/>
        </w:r>
        <w:r w:rsidR="00F513CF">
          <w:rPr>
            <w:noProof/>
            <w:webHidden/>
            <w:szCs w:val="24"/>
          </w:rPr>
          <w:t>2</w:t>
        </w:r>
        <w:r w:rsidRPr="004A3204">
          <w:rPr>
            <w:noProof/>
            <w:webHidden/>
            <w:szCs w:val="24"/>
          </w:rPr>
          <w:fldChar w:fldCharType="end"/>
        </w:r>
      </w:hyperlink>
    </w:p>
    <w:p w:rsidR="00CA619C" w:rsidRPr="004A3204" w:rsidRDefault="00CA619C" w:rsidP="00CA619C">
      <w:pPr>
        <w:pStyle w:val="TOC2"/>
        <w:tabs>
          <w:tab w:val="left" w:pos="1680"/>
          <w:tab w:val="right" w:leader="dot" w:pos="8948"/>
        </w:tabs>
        <w:spacing w:line="426" w:lineRule="exact"/>
        <w:ind w:firstLine="480"/>
        <w:rPr>
          <w:noProof/>
          <w:szCs w:val="24"/>
        </w:rPr>
      </w:pPr>
      <w:hyperlink w:anchor="_Toc392853104" w:history="1">
        <w:r w:rsidRPr="004A3204">
          <w:rPr>
            <w:rStyle w:val="Hyperlink"/>
            <w:noProof/>
            <w:sz w:val="24"/>
            <w:szCs w:val="24"/>
          </w:rPr>
          <w:t>1.2.</w:t>
        </w:r>
        <w:r w:rsidRPr="004A3204">
          <w:rPr>
            <w:noProof/>
            <w:szCs w:val="24"/>
          </w:rPr>
          <w:tab/>
        </w:r>
        <w:r w:rsidRPr="004A3204">
          <w:rPr>
            <w:rStyle w:val="Hyperlink"/>
            <w:rFonts w:hint="eastAsia"/>
            <w:noProof/>
            <w:sz w:val="24"/>
            <w:szCs w:val="24"/>
          </w:rPr>
          <w:t>具有高增长性，对经济增长具有很大的拉动作用</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_Toc392853104 \h </w:instrText>
        </w:r>
        <w:r w:rsidRPr="004A3204">
          <w:rPr>
            <w:noProof/>
            <w:szCs w:val="24"/>
          </w:rPr>
        </w:r>
        <w:r w:rsidRPr="004A3204">
          <w:rPr>
            <w:noProof/>
            <w:webHidden/>
            <w:szCs w:val="24"/>
          </w:rPr>
          <w:fldChar w:fldCharType="separate"/>
        </w:r>
        <w:r w:rsidR="00F513CF">
          <w:rPr>
            <w:noProof/>
            <w:webHidden/>
            <w:szCs w:val="24"/>
          </w:rPr>
          <w:t>2</w:t>
        </w:r>
        <w:r w:rsidRPr="004A3204">
          <w:rPr>
            <w:noProof/>
            <w:webHidden/>
            <w:szCs w:val="24"/>
          </w:rPr>
          <w:fldChar w:fldCharType="end"/>
        </w:r>
      </w:hyperlink>
    </w:p>
    <w:p w:rsidR="00CA619C" w:rsidRPr="004A3204" w:rsidRDefault="00CA619C" w:rsidP="00CA619C">
      <w:pPr>
        <w:pStyle w:val="TOC2"/>
        <w:tabs>
          <w:tab w:val="left" w:pos="1680"/>
          <w:tab w:val="right" w:leader="dot" w:pos="8948"/>
        </w:tabs>
        <w:spacing w:line="426" w:lineRule="exact"/>
        <w:ind w:firstLine="480"/>
        <w:rPr>
          <w:noProof/>
          <w:szCs w:val="24"/>
        </w:rPr>
      </w:pPr>
      <w:hyperlink w:anchor="_Toc392853105" w:history="1">
        <w:r w:rsidRPr="004A3204">
          <w:rPr>
            <w:rStyle w:val="Hyperlink"/>
            <w:noProof/>
            <w:sz w:val="24"/>
            <w:szCs w:val="24"/>
          </w:rPr>
          <w:t>1.3.</w:t>
        </w:r>
        <w:r w:rsidRPr="004A3204">
          <w:rPr>
            <w:noProof/>
            <w:szCs w:val="24"/>
          </w:rPr>
          <w:tab/>
        </w:r>
        <w:r w:rsidRPr="004A3204">
          <w:rPr>
            <w:rStyle w:val="Hyperlink"/>
            <w:rFonts w:hint="eastAsia"/>
            <w:noProof/>
            <w:sz w:val="24"/>
            <w:szCs w:val="24"/>
          </w:rPr>
          <w:t>早期普遍具有高成本特性，适当的扶持政策有利于快速启动产业</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_Toc392853105 \h </w:instrText>
        </w:r>
        <w:r w:rsidRPr="004A3204">
          <w:rPr>
            <w:noProof/>
            <w:szCs w:val="24"/>
          </w:rPr>
        </w:r>
        <w:r w:rsidRPr="004A3204">
          <w:rPr>
            <w:noProof/>
            <w:webHidden/>
            <w:szCs w:val="24"/>
          </w:rPr>
          <w:fldChar w:fldCharType="separate"/>
        </w:r>
        <w:r w:rsidR="00F513CF">
          <w:rPr>
            <w:noProof/>
            <w:webHidden/>
            <w:szCs w:val="24"/>
          </w:rPr>
          <w:t>3</w:t>
        </w:r>
        <w:r w:rsidRPr="004A3204">
          <w:rPr>
            <w:noProof/>
            <w:webHidden/>
            <w:szCs w:val="24"/>
          </w:rPr>
          <w:fldChar w:fldCharType="end"/>
        </w:r>
      </w:hyperlink>
    </w:p>
    <w:p w:rsidR="00CA619C" w:rsidRPr="004A3204" w:rsidRDefault="00CA619C" w:rsidP="00CA619C">
      <w:pPr>
        <w:pStyle w:val="TOC2"/>
        <w:tabs>
          <w:tab w:val="left" w:pos="1680"/>
          <w:tab w:val="right" w:leader="dot" w:pos="8948"/>
        </w:tabs>
        <w:spacing w:line="426" w:lineRule="exact"/>
        <w:ind w:firstLine="480"/>
        <w:rPr>
          <w:noProof/>
          <w:szCs w:val="24"/>
        </w:rPr>
      </w:pPr>
      <w:hyperlink w:anchor="_Toc392853106" w:history="1">
        <w:r w:rsidRPr="004A3204">
          <w:rPr>
            <w:rStyle w:val="Hyperlink"/>
            <w:noProof/>
            <w:sz w:val="24"/>
            <w:szCs w:val="24"/>
          </w:rPr>
          <w:t>1.4.</w:t>
        </w:r>
        <w:r w:rsidRPr="004A3204">
          <w:rPr>
            <w:noProof/>
            <w:szCs w:val="24"/>
          </w:rPr>
          <w:tab/>
        </w:r>
        <w:r w:rsidRPr="004A3204">
          <w:rPr>
            <w:rStyle w:val="Hyperlink"/>
            <w:rFonts w:hint="eastAsia"/>
            <w:noProof/>
            <w:sz w:val="24"/>
            <w:szCs w:val="24"/>
          </w:rPr>
          <w:t>产业扶持政策须与新兴能源技术发展相匹配</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_Toc392853106 \h </w:instrText>
        </w:r>
        <w:r w:rsidRPr="004A3204">
          <w:rPr>
            <w:noProof/>
            <w:szCs w:val="24"/>
          </w:rPr>
        </w:r>
        <w:r w:rsidRPr="004A3204">
          <w:rPr>
            <w:noProof/>
            <w:webHidden/>
            <w:szCs w:val="24"/>
          </w:rPr>
          <w:fldChar w:fldCharType="separate"/>
        </w:r>
        <w:r w:rsidR="00F513CF">
          <w:rPr>
            <w:noProof/>
            <w:webHidden/>
            <w:szCs w:val="24"/>
          </w:rPr>
          <w:t>4</w:t>
        </w:r>
        <w:r w:rsidRPr="004A3204">
          <w:rPr>
            <w:noProof/>
            <w:webHidden/>
            <w:szCs w:val="24"/>
          </w:rPr>
          <w:fldChar w:fldCharType="end"/>
        </w:r>
      </w:hyperlink>
    </w:p>
    <w:p w:rsidR="00CA619C" w:rsidRPr="004A3204" w:rsidRDefault="00CA619C" w:rsidP="00CA619C">
      <w:pPr>
        <w:pStyle w:val="TOC2"/>
        <w:tabs>
          <w:tab w:val="left" w:pos="1680"/>
          <w:tab w:val="right" w:leader="dot" w:pos="8948"/>
        </w:tabs>
        <w:spacing w:line="426" w:lineRule="exact"/>
        <w:ind w:firstLine="480"/>
        <w:rPr>
          <w:noProof/>
          <w:szCs w:val="24"/>
        </w:rPr>
      </w:pPr>
      <w:hyperlink w:anchor="_Toc392853107" w:history="1">
        <w:r w:rsidRPr="004A3204">
          <w:rPr>
            <w:rStyle w:val="Hyperlink"/>
            <w:noProof/>
            <w:sz w:val="24"/>
            <w:szCs w:val="24"/>
          </w:rPr>
          <w:t>1.5.</w:t>
        </w:r>
        <w:r w:rsidRPr="004A3204">
          <w:rPr>
            <w:noProof/>
            <w:szCs w:val="24"/>
          </w:rPr>
          <w:tab/>
        </w:r>
        <w:r w:rsidRPr="004A3204">
          <w:rPr>
            <w:rStyle w:val="Hyperlink"/>
            <w:rFonts w:hint="eastAsia"/>
            <w:noProof/>
            <w:sz w:val="24"/>
            <w:szCs w:val="24"/>
          </w:rPr>
          <w:t>产业发展融入常规能源系统时需要一系列配套支持</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_Toc392853107 \h </w:instrText>
        </w:r>
        <w:r w:rsidRPr="004A3204">
          <w:rPr>
            <w:noProof/>
            <w:szCs w:val="24"/>
          </w:rPr>
        </w:r>
        <w:r w:rsidRPr="004A3204">
          <w:rPr>
            <w:noProof/>
            <w:webHidden/>
            <w:szCs w:val="24"/>
          </w:rPr>
          <w:fldChar w:fldCharType="separate"/>
        </w:r>
        <w:r w:rsidR="00F513CF">
          <w:rPr>
            <w:noProof/>
            <w:webHidden/>
            <w:szCs w:val="24"/>
          </w:rPr>
          <w:t>5</w:t>
        </w:r>
        <w:r w:rsidRPr="004A3204">
          <w:rPr>
            <w:noProof/>
            <w:webHidden/>
            <w:szCs w:val="24"/>
          </w:rPr>
          <w:fldChar w:fldCharType="end"/>
        </w:r>
      </w:hyperlink>
    </w:p>
    <w:p w:rsidR="00CA619C" w:rsidRPr="004A3204" w:rsidRDefault="00CA619C" w:rsidP="00CA619C">
      <w:pPr>
        <w:pStyle w:val="TOC1"/>
        <w:tabs>
          <w:tab w:val="left" w:pos="1260"/>
          <w:tab w:val="right" w:leader="dot" w:pos="8948"/>
        </w:tabs>
        <w:spacing w:line="426" w:lineRule="exact"/>
        <w:ind w:firstLine="480"/>
        <w:rPr>
          <w:noProof/>
          <w:szCs w:val="24"/>
        </w:rPr>
      </w:pPr>
      <w:hyperlink w:anchor="_Toc392853108" w:history="1">
        <w:r w:rsidRPr="004A3204">
          <w:rPr>
            <w:rStyle w:val="Hyperlink"/>
            <w:noProof/>
            <w:sz w:val="24"/>
            <w:szCs w:val="24"/>
          </w:rPr>
          <w:t>2.</w:t>
        </w:r>
        <w:r w:rsidRPr="004A3204">
          <w:rPr>
            <w:noProof/>
            <w:szCs w:val="24"/>
          </w:rPr>
          <w:tab/>
        </w:r>
        <w:r w:rsidRPr="004A3204">
          <w:rPr>
            <w:rStyle w:val="Hyperlink"/>
            <w:rFonts w:hint="eastAsia"/>
            <w:noProof/>
            <w:sz w:val="24"/>
            <w:szCs w:val="24"/>
          </w:rPr>
          <w:t>国内外新兴能源产业发展现状及技术水平</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_Toc392853108 \h </w:instrText>
        </w:r>
        <w:r w:rsidRPr="004A3204">
          <w:rPr>
            <w:noProof/>
            <w:szCs w:val="24"/>
          </w:rPr>
        </w:r>
        <w:r w:rsidRPr="004A3204">
          <w:rPr>
            <w:noProof/>
            <w:webHidden/>
            <w:szCs w:val="24"/>
          </w:rPr>
          <w:fldChar w:fldCharType="separate"/>
        </w:r>
        <w:r w:rsidR="00F513CF">
          <w:rPr>
            <w:noProof/>
            <w:webHidden/>
            <w:szCs w:val="24"/>
          </w:rPr>
          <w:t>7</w:t>
        </w:r>
        <w:r w:rsidRPr="004A3204">
          <w:rPr>
            <w:noProof/>
            <w:webHidden/>
            <w:szCs w:val="24"/>
          </w:rPr>
          <w:fldChar w:fldCharType="end"/>
        </w:r>
      </w:hyperlink>
    </w:p>
    <w:p w:rsidR="00CA619C" w:rsidRPr="004A3204" w:rsidRDefault="00CA619C" w:rsidP="00CA619C">
      <w:pPr>
        <w:pStyle w:val="TOC2"/>
        <w:tabs>
          <w:tab w:val="left" w:pos="1680"/>
          <w:tab w:val="right" w:leader="dot" w:pos="8948"/>
        </w:tabs>
        <w:spacing w:line="426" w:lineRule="exact"/>
        <w:ind w:firstLine="480"/>
        <w:rPr>
          <w:noProof/>
          <w:szCs w:val="24"/>
        </w:rPr>
      </w:pPr>
      <w:hyperlink w:anchor="_Toc392853109" w:history="1">
        <w:r w:rsidRPr="004A3204">
          <w:rPr>
            <w:rStyle w:val="Hyperlink"/>
            <w:rFonts w:ascii="宋体" w:hAnsi="宋体"/>
            <w:noProof/>
            <w:sz w:val="24"/>
            <w:szCs w:val="24"/>
          </w:rPr>
          <w:t>2.1.</w:t>
        </w:r>
        <w:r w:rsidRPr="004A3204">
          <w:rPr>
            <w:noProof/>
            <w:szCs w:val="24"/>
          </w:rPr>
          <w:tab/>
        </w:r>
        <w:r w:rsidRPr="004A3204">
          <w:rPr>
            <w:rStyle w:val="Hyperlink"/>
            <w:rFonts w:ascii="宋体" w:hAnsi="宋体" w:hint="eastAsia"/>
            <w:noProof/>
            <w:sz w:val="24"/>
            <w:szCs w:val="24"/>
          </w:rPr>
          <w:t>风电</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_Toc392853109 \h </w:instrText>
        </w:r>
        <w:r w:rsidRPr="004A3204">
          <w:rPr>
            <w:noProof/>
            <w:szCs w:val="24"/>
          </w:rPr>
        </w:r>
        <w:r w:rsidRPr="004A3204">
          <w:rPr>
            <w:noProof/>
            <w:webHidden/>
            <w:szCs w:val="24"/>
          </w:rPr>
          <w:fldChar w:fldCharType="separate"/>
        </w:r>
        <w:r w:rsidR="00F513CF">
          <w:rPr>
            <w:noProof/>
            <w:webHidden/>
            <w:szCs w:val="24"/>
          </w:rPr>
          <w:t>7</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10" w:history="1">
        <w:r w:rsidRPr="004A3204">
          <w:rPr>
            <w:rStyle w:val="Hyperlink"/>
            <w:noProof/>
            <w:sz w:val="24"/>
            <w:szCs w:val="24"/>
          </w:rPr>
          <w:t>2.1.1.</w:t>
        </w:r>
        <w:r w:rsidRPr="004A3204">
          <w:rPr>
            <w:noProof/>
            <w:szCs w:val="24"/>
          </w:rPr>
          <w:tab/>
        </w:r>
        <w:r w:rsidRPr="004A3204">
          <w:rPr>
            <w:rStyle w:val="Hyperlink"/>
            <w:rFonts w:hint="eastAsia"/>
            <w:noProof/>
            <w:sz w:val="24"/>
            <w:szCs w:val="24"/>
          </w:rPr>
          <w:t>世界风电产业发展现状与技术水平</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_Toc392853110 \h </w:instrText>
        </w:r>
        <w:r w:rsidRPr="004A3204">
          <w:rPr>
            <w:noProof/>
            <w:szCs w:val="24"/>
          </w:rPr>
        </w:r>
        <w:r w:rsidRPr="004A3204">
          <w:rPr>
            <w:noProof/>
            <w:webHidden/>
            <w:szCs w:val="24"/>
          </w:rPr>
          <w:fldChar w:fldCharType="separate"/>
        </w:r>
        <w:r w:rsidR="00F513CF">
          <w:rPr>
            <w:noProof/>
            <w:webHidden/>
            <w:szCs w:val="24"/>
          </w:rPr>
          <w:t>7</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11" w:history="1">
        <w:r w:rsidRPr="004A3204">
          <w:rPr>
            <w:rStyle w:val="Hyperlink"/>
            <w:noProof/>
            <w:sz w:val="24"/>
            <w:szCs w:val="24"/>
          </w:rPr>
          <w:t>2.1.2.</w:t>
        </w:r>
        <w:r w:rsidRPr="004A3204">
          <w:rPr>
            <w:noProof/>
            <w:szCs w:val="24"/>
          </w:rPr>
          <w:tab/>
        </w:r>
        <w:r w:rsidRPr="004A3204">
          <w:rPr>
            <w:rStyle w:val="Hyperlink"/>
            <w:rFonts w:hint="eastAsia"/>
            <w:noProof/>
            <w:sz w:val="24"/>
            <w:szCs w:val="24"/>
          </w:rPr>
          <w:t>中国风电产业现状与技术水平</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_Toc392853111 \h </w:instrText>
        </w:r>
        <w:r w:rsidRPr="004A3204">
          <w:rPr>
            <w:noProof/>
            <w:szCs w:val="24"/>
          </w:rPr>
        </w:r>
        <w:r w:rsidRPr="004A3204">
          <w:rPr>
            <w:noProof/>
            <w:webHidden/>
            <w:szCs w:val="24"/>
          </w:rPr>
          <w:fldChar w:fldCharType="separate"/>
        </w:r>
        <w:r w:rsidR="00F513CF">
          <w:rPr>
            <w:noProof/>
            <w:webHidden/>
            <w:szCs w:val="24"/>
          </w:rPr>
          <w:t>11</w:t>
        </w:r>
        <w:r w:rsidRPr="004A3204">
          <w:rPr>
            <w:noProof/>
            <w:webHidden/>
            <w:szCs w:val="24"/>
          </w:rPr>
          <w:fldChar w:fldCharType="end"/>
        </w:r>
      </w:hyperlink>
    </w:p>
    <w:p w:rsidR="00CA619C" w:rsidRPr="004A3204" w:rsidRDefault="00CA619C" w:rsidP="00CA619C">
      <w:pPr>
        <w:pStyle w:val="TOC2"/>
        <w:tabs>
          <w:tab w:val="left" w:pos="1680"/>
          <w:tab w:val="right" w:leader="dot" w:pos="8948"/>
        </w:tabs>
        <w:spacing w:line="426" w:lineRule="exact"/>
        <w:ind w:firstLine="480"/>
        <w:rPr>
          <w:noProof/>
          <w:szCs w:val="24"/>
        </w:rPr>
      </w:pPr>
      <w:hyperlink w:anchor="_Toc392853112" w:history="1">
        <w:r w:rsidRPr="004A3204">
          <w:rPr>
            <w:rStyle w:val="Hyperlink"/>
            <w:noProof/>
            <w:sz w:val="24"/>
            <w:szCs w:val="24"/>
          </w:rPr>
          <w:t>2.2.</w:t>
        </w:r>
        <w:r w:rsidRPr="004A3204">
          <w:rPr>
            <w:noProof/>
            <w:szCs w:val="24"/>
          </w:rPr>
          <w:tab/>
        </w:r>
        <w:r w:rsidRPr="004A3204">
          <w:rPr>
            <w:rStyle w:val="Hyperlink"/>
            <w:rFonts w:hint="eastAsia"/>
            <w:noProof/>
            <w:sz w:val="24"/>
            <w:szCs w:val="24"/>
          </w:rPr>
          <w:t>太阳能光伏</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_Toc392853112 \h </w:instrText>
        </w:r>
        <w:r w:rsidRPr="004A3204">
          <w:rPr>
            <w:noProof/>
            <w:szCs w:val="24"/>
          </w:rPr>
        </w:r>
        <w:r w:rsidRPr="004A3204">
          <w:rPr>
            <w:noProof/>
            <w:webHidden/>
            <w:szCs w:val="24"/>
          </w:rPr>
          <w:fldChar w:fldCharType="separate"/>
        </w:r>
        <w:r w:rsidR="00F513CF">
          <w:rPr>
            <w:noProof/>
            <w:webHidden/>
            <w:szCs w:val="24"/>
          </w:rPr>
          <w:t>16</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13" w:history="1">
        <w:r w:rsidRPr="004A3204">
          <w:rPr>
            <w:rStyle w:val="Hyperlink"/>
            <w:noProof/>
            <w:sz w:val="24"/>
            <w:szCs w:val="24"/>
          </w:rPr>
          <w:t>2.2.1.</w:t>
        </w:r>
        <w:r w:rsidRPr="004A3204">
          <w:rPr>
            <w:noProof/>
            <w:szCs w:val="24"/>
          </w:rPr>
          <w:tab/>
        </w:r>
        <w:r w:rsidRPr="004A3204">
          <w:rPr>
            <w:rStyle w:val="Hyperlink"/>
            <w:rFonts w:hint="eastAsia"/>
            <w:noProof/>
            <w:sz w:val="24"/>
            <w:szCs w:val="24"/>
          </w:rPr>
          <w:t>世界光伏产业现状与技术水平</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_Toc392853113 \h </w:instrText>
        </w:r>
        <w:r w:rsidRPr="004A3204">
          <w:rPr>
            <w:noProof/>
            <w:szCs w:val="24"/>
          </w:rPr>
        </w:r>
        <w:r w:rsidRPr="004A3204">
          <w:rPr>
            <w:noProof/>
            <w:webHidden/>
            <w:szCs w:val="24"/>
          </w:rPr>
          <w:fldChar w:fldCharType="separate"/>
        </w:r>
        <w:r w:rsidR="00F513CF">
          <w:rPr>
            <w:noProof/>
            <w:webHidden/>
            <w:szCs w:val="24"/>
          </w:rPr>
          <w:t>16</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14" w:history="1">
        <w:r w:rsidRPr="004A3204">
          <w:rPr>
            <w:rStyle w:val="Hyperlink"/>
            <w:noProof/>
            <w:sz w:val="24"/>
            <w:szCs w:val="24"/>
          </w:rPr>
          <w:t>2.2.2.</w:t>
        </w:r>
        <w:r w:rsidRPr="004A3204">
          <w:rPr>
            <w:noProof/>
            <w:szCs w:val="24"/>
          </w:rPr>
          <w:tab/>
        </w:r>
        <w:r w:rsidRPr="004A3204">
          <w:rPr>
            <w:rStyle w:val="Hyperlink"/>
            <w:rFonts w:hint="eastAsia"/>
            <w:noProof/>
            <w:sz w:val="24"/>
            <w:szCs w:val="24"/>
          </w:rPr>
          <w:t>中国光伏产业现状与技术水平</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_Toc392853114 \h </w:instrText>
        </w:r>
        <w:r w:rsidRPr="004A3204">
          <w:rPr>
            <w:noProof/>
            <w:szCs w:val="24"/>
          </w:rPr>
        </w:r>
        <w:r w:rsidRPr="004A3204">
          <w:rPr>
            <w:noProof/>
            <w:webHidden/>
            <w:szCs w:val="24"/>
          </w:rPr>
          <w:fldChar w:fldCharType="separate"/>
        </w:r>
        <w:r w:rsidR="00F513CF">
          <w:rPr>
            <w:noProof/>
            <w:webHidden/>
            <w:szCs w:val="24"/>
          </w:rPr>
          <w:t>21</w:t>
        </w:r>
        <w:r w:rsidRPr="004A3204">
          <w:rPr>
            <w:noProof/>
            <w:webHidden/>
            <w:szCs w:val="24"/>
          </w:rPr>
          <w:fldChar w:fldCharType="end"/>
        </w:r>
      </w:hyperlink>
    </w:p>
    <w:p w:rsidR="00CA619C" w:rsidRPr="004A3204" w:rsidRDefault="00CA619C" w:rsidP="00CA619C">
      <w:pPr>
        <w:pStyle w:val="TOC2"/>
        <w:tabs>
          <w:tab w:val="left" w:pos="1680"/>
          <w:tab w:val="right" w:leader="dot" w:pos="8948"/>
        </w:tabs>
        <w:spacing w:line="426" w:lineRule="exact"/>
        <w:ind w:firstLine="480"/>
        <w:rPr>
          <w:noProof/>
          <w:szCs w:val="24"/>
        </w:rPr>
      </w:pPr>
      <w:hyperlink w:anchor="_Toc392853115" w:history="1">
        <w:r w:rsidRPr="004A3204">
          <w:rPr>
            <w:rStyle w:val="Hyperlink"/>
            <w:rFonts w:ascii="宋体" w:hAnsi="宋体"/>
            <w:noProof/>
            <w:sz w:val="24"/>
            <w:szCs w:val="24"/>
          </w:rPr>
          <w:t>2.3.</w:t>
        </w:r>
        <w:r w:rsidRPr="004A3204">
          <w:rPr>
            <w:noProof/>
            <w:szCs w:val="24"/>
          </w:rPr>
          <w:tab/>
        </w:r>
        <w:r w:rsidRPr="004A3204">
          <w:rPr>
            <w:rStyle w:val="Hyperlink"/>
            <w:rFonts w:ascii="宋体" w:hAnsi="宋体" w:hint="eastAsia"/>
            <w:noProof/>
            <w:sz w:val="24"/>
            <w:szCs w:val="24"/>
          </w:rPr>
          <w:t>储能</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_Toc392853115 \h </w:instrText>
        </w:r>
        <w:r w:rsidRPr="004A3204">
          <w:rPr>
            <w:noProof/>
            <w:szCs w:val="24"/>
          </w:rPr>
        </w:r>
        <w:r w:rsidRPr="004A3204">
          <w:rPr>
            <w:noProof/>
            <w:webHidden/>
            <w:szCs w:val="24"/>
          </w:rPr>
          <w:fldChar w:fldCharType="separate"/>
        </w:r>
        <w:r w:rsidR="00F513CF">
          <w:rPr>
            <w:noProof/>
            <w:webHidden/>
            <w:szCs w:val="24"/>
          </w:rPr>
          <w:t>24</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16" w:history="1">
        <w:r w:rsidRPr="004A3204">
          <w:rPr>
            <w:rStyle w:val="Hyperlink"/>
            <w:noProof/>
            <w:sz w:val="24"/>
            <w:szCs w:val="24"/>
          </w:rPr>
          <w:t>2.3.1.</w:t>
        </w:r>
        <w:r w:rsidRPr="004A3204">
          <w:rPr>
            <w:noProof/>
            <w:szCs w:val="24"/>
          </w:rPr>
          <w:tab/>
        </w:r>
        <w:r w:rsidRPr="004A3204">
          <w:rPr>
            <w:rStyle w:val="Hyperlink"/>
            <w:rFonts w:hint="eastAsia"/>
            <w:noProof/>
            <w:sz w:val="24"/>
            <w:szCs w:val="24"/>
          </w:rPr>
          <w:t>世界储能产业现状与技术水平</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_Toc392853116 \h </w:instrText>
        </w:r>
        <w:r w:rsidRPr="004A3204">
          <w:rPr>
            <w:noProof/>
            <w:szCs w:val="24"/>
          </w:rPr>
        </w:r>
        <w:r w:rsidRPr="004A3204">
          <w:rPr>
            <w:noProof/>
            <w:webHidden/>
            <w:szCs w:val="24"/>
          </w:rPr>
          <w:fldChar w:fldCharType="separate"/>
        </w:r>
        <w:r w:rsidR="00F513CF">
          <w:rPr>
            <w:noProof/>
            <w:webHidden/>
            <w:szCs w:val="24"/>
          </w:rPr>
          <w:t>24</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17" w:history="1">
        <w:r w:rsidRPr="004A3204">
          <w:rPr>
            <w:rStyle w:val="Hyperlink"/>
            <w:noProof/>
            <w:sz w:val="24"/>
            <w:szCs w:val="24"/>
          </w:rPr>
          <w:t>2.3.2.</w:t>
        </w:r>
        <w:r w:rsidRPr="004A3204">
          <w:rPr>
            <w:noProof/>
            <w:szCs w:val="24"/>
          </w:rPr>
          <w:tab/>
        </w:r>
        <w:r w:rsidRPr="004A3204">
          <w:rPr>
            <w:rStyle w:val="Hyperlink"/>
            <w:rFonts w:hint="eastAsia"/>
            <w:noProof/>
            <w:sz w:val="24"/>
            <w:szCs w:val="24"/>
          </w:rPr>
          <w:t>中国储能产业现状与技术水平</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_Toc392853117 \h </w:instrText>
        </w:r>
        <w:r w:rsidRPr="004A3204">
          <w:rPr>
            <w:noProof/>
            <w:szCs w:val="24"/>
          </w:rPr>
        </w:r>
        <w:r w:rsidRPr="004A3204">
          <w:rPr>
            <w:noProof/>
            <w:webHidden/>
            <w:szCs w:val="24"/>
          </w:rPr>
          <w:fldChar w:fldCharType="separate"/>
        </w:r>
        <w:r w:rsidR="00F513CF">
          <w:rPr>
            <w:noProof/>
            <w:webHidden/>
            <w:szCs w:val="24"/>
          </w:rPr>
          <w:t>26</w:t>
        </w:r>
        <w:r w:rsidRPr="004A3204">
          <w:rPr>
            <w:noProof/>
            <w:webHidden/>
            <w:szCs w:val="24"/>
          </w:rPr>
          <w:fldChar w:fldCharType="end"/>
        </w:r>
      </w:hyperlink>
    </w:p>
    <w:p w:rsidR="00CA619C" w:rsidRPr="004A3204" w:rsidRDefault="00CA619C" w:rsidP="00CA619C">
      <w:pPr>
        <w:pStyle w:val="TOC2"/>
        <w:tabs>
          <w:tab w:val="left" w:pos="1680"/>
          <w:tab w:val="right" w:leader="dot" w:pos="8948"/>
        </w:tabs>
        <w:spacing w:line="426" w:lineRule="exact"/>
        <w:ind w:firstLine="480"/>
        <w:rPr>
          <w:noProof/>
          <w:szCs w:val="24"/>
        </w:rPr>
      </w:pPr>
      <w:hyperlink w:anchor="_Toc392853118" w:history="1">
        <w:r w:rsidRPr="004A3204">
          <w:rPr>
            <w:rStyle w:val="Hyperlink"/>
            <w:noProof/>
            <w:sz w:val="24"/>
            <w:szCs w:val="24"/>
          </w:rPr>
          <w:t>2.4.</w:t>
        </w:r>
        <w:r w:rsidRPr="004A3204">
          <w:rPr>
            <w:noProof/>
            <w:szCs w:val="24"/>
          </w:rPr>
          <w:tab/>
        </w:r>
        <w:r w:rsidRPr="004A3204">
          <w:rPr>
            <w:rStyle w:val="Hyperlink"/>
            <w:rFonts w:hint="eastAsia"/>
            <w:noProof/>
            <w:sz w:val="24"/>
            <w:szCs w:val="24"/>
          </w:rPr>
          <w:t>页岩气</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_Toc392853118 \h </w:instrText>
        </w:r>
        <w:r w:rsidRPr="004A3204">
          <w:rPr>
            <w:noProof/>
            <w:szCs w:val="24"/>
          </w:rPr>
        </w:r>
        <w:r w:rsidRPr="004A3204">
          <w:rPr>
            <w:noProof/>
            <w:webHidden/>
            <w:szCs w:val="24"/>
          </w:rPr>
          <w:fldChar w:fldCharType="separate"/>
        </w:r>
        <w:r w:rsidR="00F513CF">
          <w:rPr>
            <w:noProof/>
            <w:webHidden/>
            <w:szCs w:val="24"/>
          </w:rPr>
          <w:t>27</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19" w:history="1">
        <w:r w:rsidRPr="004A3204">
          <w:rPr>
            <w:rStyle w:val="Hyperlink"/>
            <w:noProof/>
            <w:sz w:val="24"/>
            <w:szCs w:val="24"/>
          </w:rPr>
          <w:t>2.4.1.</w:t>
        </w:r>
        <w:r w:rsidRPr="004A3204">
          <w:rPr>
            <w:noProof/>
            <w:szCs w:val="24"/>
          </w:rPr>
          <w:tab/>
        </w:r>
        <w:r w:rsidRPr="004A3204">
          <w:rPr>
            <w:rStyle w:val="Hyperlink"/>
            <w:rFonts w:hint="eastAsia"/>
            <w:noProof/>
            <w:sz w:val="24"/>
            <w:szCs w:val="24"/>
          </w:rPr>
          <w:t>世界页岩气产业现状与技术水平</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_Toc392853119 \h </w:instrText>
        </w:r>
        <w:r w:rsidRPr="004A3204">
          <w:rPr>
            <w:noProof/>
            <w:szCs w:val="24"/>
          </w:rPr>
        </w:r>
        <w:r w:rsidRPr="004A3204">
          <w:rPr>
            <w:noProof/>
            <w:webHidden/>
            <w:szCs w:val="24"/>
          </w:rPr>
          <w:fldChar w:fldCharType="separate"/>
        </w:r>
        <w:r w:rsidR="00F513CF">
          <w:rPr>
            <w:noProof/>
            <w:webHidden/>
            <w:szCs w:val="24"/>
          </w:rPr>
          <w:t>27</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20" w:history="1">
        <w:r w:rsidRPr="004A3204">
          <w:rPr>
            <w:rStyle w:val="Hyperlink"/>
            <w:noProof/>
            <w:sz w:val="24"/>
            <w:szCs w:val="24"/>
          </w:rPr>
          <w:t>2.4.2.</w:t>
        </w:r>
        <w:r w:rsidRPr="004A3204">
          <w:rPr>
            <w:noProof/>
            <w:szCs w:val="24"/>
          </w:rPr>
          <w:tab/>
        </w:r>
        <w:r w:rsidRPr="004A3204">
          <w:rPr>
            <w:rStyle w:val="Hyperlink"/>
            <w:rFonts w:hint="eastAsia"/>
            <w:noProof/>
            <w:sz w:val="24"/>
            <w:szCs w:val="24"/>
          </w:rPr>
          <w:t>中国页岩气产业现状与技术水平</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_Toc392853120 \h </w:instrText>
        </w:r>
        <w:r w:rsidRPr="004A3204">
          <w:rPr>
            <w:noProof/>
            <w:szCs w:val="24"/>
          </w:rPr>
        </w:r>
        <w:r w:rsidRPr="004A3204">
          <w:rPr>
            <w:noProof/>
            <w:webHidden/>
            <w:szCs w:val="24"/>
          </w:rPr>
          <w:fldChar w:fldCharType="separate"/>
        </w:r>
        <w:r w:rsidR="00F513CF">
          <w:rPr>
            <w:noProof/>
            <w:webHidden/>
            <w:szCs w:val="24"/>
          </w:rPr>
          <w:t>30</w:t>
        </w:r>
        <w:r w:rsidRPr="004A3204">
          <w:rPr>
            <w:noProof/>
            <w:webHidden/>
            <w:szCs w:val="24"/>
          </w:rPr>
          <w:fldChar w:fldCharType="end"/>
        </w:r>
      </w:hyperlink>
    </w:p>
    <w:p w:rsidR="00CA619C" w:rsidRPr="004A3204" w:rsidRDefault="00CA619C" w:rsidP="00CA619C">
      <w:pPr>
        <w:pStyle w:val="TOC1"/>
        <w:tabs>
          <w:tab w:val="left" w:pos="1260"/>
          <w:tab w:val="right" w:leader="dot" w:pos="8948"/>
        </w:tabs>
        <w:spacing w:line="426" w:lineRule="exact"/>
        <w:ind w:firstLine="480"/>
        <w:rPr>
          <w:noProof/>
          <w:szCs w:val="24"/>
        </w:rPr>
      </w:pPr>
      <w:hyperlink w:anchor="_Toc392853121" w:history="1">
        <w:r w:rsidRPr="004A3204">
          <w:rPr>
            <w:rStyle w:val="Hyperlink"/>
            <w:noProof/>
            <w:sz w:val="24"/>
            <w:szCs w:val="24"/>
          </w:rPr>
          <w:t>3.</w:t>
        </w:r>
        <w:r w:rsidRPr="004A3204">
          <w:rPr>
            <w:noProof/>
            <w:szCs w:val="24"/>
          </w:rPr>
          <w:tab/>
        </w:r>
        <w:r w:rsidRPr="004A3204">
          <w:rPr>
            <w:rStyle w:val="Hyperlink"/>
            <w:rFonts w:hint="eastAsia"/>
            <w:noProof/>
            <w:sz w:val="24"/>
            <w:szCs w:val="24"/>
          </w:rPr>
          <w:t>美国新兴能源产业技术创新支撑体系研究</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_Toc392853121 \h </w:instrText>
        </w:r>
        <w:r w:rsidRPr="004A3204">
          <w:rPr>
            <w:noProof/>
            <w:szCs w:val="24"/>
          </w:rPr>
        </w:r>
        <w:r w:rsidRPr="004A3204">
          <w:rPr>
            <w:noProof/>
            <w:webHidden/>
            <w:szCs w:val="24"/>
          </w:rPr>
          <w:fldChar w:fldCharType="separate"/>
        </w:r>
        <w:r w:rsidR="00F513CF">
          <w:rPr>
            <w:noProof/>
            <w:webHidden/>
            <w:szCs w:val="24"/>
          </w:rPr>
          <w:t>36</w:t>
        </w:r>
        <w:r w:rsidRPr="004A3204">
          <w:rPr>
            <w:noProof/>
            <w:webHidden/>
            <w:szCs w:val="24"/>
          </w:rPr>
          <w:fldChar w:fldCharType="end"/>
        </w:r>
      </w:hyperlink>
    </w:p>
    <w:p w:rsidR="00CA619C" w:rsidRPr="004A3204" w:rsidRDefault="00CA619C" w:rsidP="00CA619C">
      <w:pPr>
        <w:pStyle w:val="TOC2"/>
        <w:tabs>
          <w:tab w:val="left" w:pos="1680"/>
          <w:tab w:val="right" w:leader="dot" w:pos="8948"/>
        </w:tabs>
        <w:spacing w:line="426" w:lineRule="exact"/>
        <w:ind w:firstLine="480"/>
        <w:rPr>
          <w:noProof/>
          <w:szCs w:val="24"/>
        </w:rPr>
      </w:pPr>
      <w:hyperlink w:anchor="_Toc392853122" w:history="1">
        <w:r w:rsidRPr="004A3204">
          <w:rPr>
            <w:rStyle w:val="Hyperlink"/>
            <w:noProof/>
            <w:sz w:val="24"/>
            <w:szCs w:val="24"/>
          </w:rPr>
          <w:t>3.1.</w:t>
        </w:r>
        <w:r w:rsidRPr="004A3204">
          <w:rPr>
            <w:noProof/>
            <w:szCs w:val="24"/>
          </w:rPr>
          <w:tab/>
        </w:r>
        <w:r w:rsidRPr="004A3204">
          <w:rPr>
            <w:rStyle w:val="Hyperlink"/>
            <w:rFonts w:hint="eastAsia"/>
            <w:noProof/>
            <w:sz w:val="24"/>
            <w:szCs w:val="24"/>
          </w:rPr>
          <w:t>美国新兴能源产业技术创新支撑体系框架</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_Toc392853122 \h </w:instrText>
        </w:r>
        <w:r w:rsidRPr="004A3204">
          <w:rPr>
            <w:noProof/>
            <w:szCs w:val="24"/>
          </w:rPr>
        </w:r>
        <w:r w:rsidRPr="004A3204">
          <w:rPr>
            <w:noProof/>
            <w:webHidden/>
            <w:szCs w:val="24"/>
          </w:rPr>
          <w:fldChar w:fldCharType="separate"/>
        </w:r>
        <w:r w:rsidR="00F513CF">
          <w:rPr>
            <w:noProof/>
            <w:webHidden/>
            <w:szCs w:val="24"/>
          </w:rPr>
          <w:t>36</w:t>
        </w:r>
        <w:r w:rsidRPr="004A3204">
          <w:rPr>
            <w:noProof/>
            <w:webHidden/>
            <w:szCs w:val="24"/>
          </w:rPr>
          <w:fldChar w:fldCharType="end"/>
        </w:r>
      </w:hyperlink>
    </w:p>
    <w:p w:rsidR="00CA619C" w:rsidRPr="004A3204" w:rsidRDefault="00CA619C" w:rsidP="00CA619C">
      <w:pPr>
        <w:pStyle w:val="TOC2"/>
        <w:tabs>
          <w:tab w:val="left" w:pos="1680"/>
          <w:tab w:val="right" w:leader="dot" w:pos="8948"/>
        </w:tabs>
        <w:spacing w:line="426" w:lineRule="exact"/>
        <w:ind w:firstLine="480"/>
        <w:rPr>
          <w:noProof/>
          <w:szCs w:val="24"/>
        </w:rPr>
      </w:pPr>
      <w:hyperlink w:anchor="_Toc392853123" w:history="1">
        <w:r w:rsidRPr="004A3204">
          <w:rPr>
            <w:rStyle w:val="Hyperlink"/>
            <w:noProof/>
            <w:sz w:val="24"/>
            <w:szCs w:val="24"/>
          </w:rPr>
          <w:t>3.2.</w:t>
        </w:r>
        <w:r w:rsidRPr="004A3204">
          <w:rPr>
            <w:noProof/>
            <w:szCs w:val="24"/>
          </w:rPr>
          <w:tab/>
        </w:r>
        <w:r w:rsidRPr="004A3204">
          <w:rPr>
            <w:rStyle w:val="Hyperlink"/>
            <w:rFonts w:hint="eastAsia"/>
            <w:noProof/>
            <w:sz w:val="24"/>
            <w:szCs w:val="24"/>
          </w:rPr>
          <w:t>新兴能源创新技术供给</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_Toc392853123 \h </w:instrText>
        </w:r>
        <w:r w:rsidRPr="004A3204">
          <w:rPr>
            <w:noProof/>
            <w:szCs w:val="24"/>
          </w:rPr>
        </w:r>
        <w:r w:rsidRPr="004A3204">
          <w:rPr>
            <w:noProof/>
            <w:webHidden/>
            <w:szCs w:val="24"/>
          </w:rPr>
          <w:fldChar w:fldCharType="separate"/>
        </w:r>
        <w:r w:rsidR="00F513CF">
          <w:rPr>
            <w:noProof/>
            <w:webHidden/>
            <w:szCs w:val="24"/>
          </w:rPr>
          <w:t>36</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24" w:history="1">
        <w:r w:rsidRPr="004A3204">
          <w:rPr>
            <w:rStyle w:val="Hyperlink"/>
            <w:noProof/>
            <w:sz w:val="24"/>
            <w:szCs w:val="24"/>
          </w:rPr>
          <w:t>3.2.1.</w:t>
        </w:r>
        <w:r w:rsidRPr="004A3204">
          <w:rPr>
            <w:noProof/>
            <w:szCs w:val="24"/>
          </w:rPr>
          <w:tab/>
        </w:r>
        <w:r w:rsidRPr="004A3204">
          <w:rPr>
            <w:rStyle w:val="Hyperlink"/>
            <w:rFonts w:hint="eastAsia"/>
            <w:noProof/>
            <w:sz w:val="24"/>
            <w:szCs w:val="24"/>
          </w:rPr>
          <w:t>美国新兴能源技术创新领导力</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_Toc392853124 \h </w:instrText>
        </w:r>
        <w:r w:rsidRPr="004A3204">
          <w:rPr>
            <w:noProof/>
            <w:szCs w:val="24"/>
          </w:rPr>
        </w:r>
        <w:r w:rsidRPr="004A3204">
          <w:rPr>
            <w:noProof/>
            <w:webHidden/>
            <w:szCs w:val="24"/>
          </w:rPr>
          <w:fldChar w:fldCharType="separate"/>
        </w:r>
        <w:r w:rsidR="00F513CF">
          <w:rPr>
            <w:noProof/>
            <w:webHidden/>
            <w:szCs w:val="24"/>
          </w:rPr>
          <w:t>36</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25" w:history="1">
        <w:r w:rsidRPr="004A3204">
          <w:rPr>
            <w:rStyle w:val="Hyperlink"/>
            <w:noProof/>
            <w:sz w:val="24"/>
            <w:szCs w:val="24"/>
          </w:rPr>
          <w:t>3.2.2.</w:t>
        </w:r>
        <w:r w:rsidRPr="004A3204">
          <w:rPr>
            <w:noProof/>
            <w:szCs w:val="24"/>
          </w:rPr>
          <w:tab/>
        </w:r>
        <w:r w:rsidRPr="004A3204">
          <w:rPr>
            <w:rStyle w:val="Hyperlink"/>
            <w:rFonts w:hint="eastAsia"/>
            <w:noProof/>
            <w:sz w:val="24"/>
            <w:szCs w:val="24"/>
          </w:rPr>
          <w:t>联邦政府系统的公共研发机构和国家实验室</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_Toc392853125 \h </w:instrText>
        </w:r>
        <w:r w:rsidRPr="004A3204">
          <w:rPr>
            <w:noProof/>
            <w:szCs w:val="24"/>
          </w:rPr>
        </w:r>
        <w:r w:rsidRPr="004A3204">
          <w:rPr>
            <w:noProof/>
            <w:webHidden/>
            <w:szCs w:val="24"/>
          </w:rPr>
          <w:fldChar w:fldCharType="separate"/>
        </w:r>
        <w:r w:rsidR="00F513CF">
          <w:rPr>
            <w:noProof/>
            <w:webHidden/>
            <w:szCs w:val="24"/>
          </w:rPr>
          <w:t>37</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26" w:history="1">
        <w:r w:rsidRPr="004A3204">
          <w:rPr>
            <w:rStyle w:val="Hyperlink"/>
            <w:noProof/>
            <w:sz w:val="24"/>
            <w:szCs w:val="24"/>
          </w:rPr>
          <w:t>3.2.3.</w:t>
        </w:r>
        <w:r w:rsidRPr="004A3204">
          <w:rPr>
            <w:noProof/>
            <w:szCs w:val="24"/>
          </w:rPr>
          <w:tab/>
        </w:r>
        <w:r w:rsidRPr="004A3204">
          <w:rPr>
            <w:rStyle w:val="Hyperlink"/>
            <w:rFonts w:hint="eastAsia"/>
            <w:noProof/>
            <w:sz w:val="24"/>
            <w:szCs w:val="24"/>
          </w:rPr>
          <w:t>高等院校系统</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_Toc392853126 \h </w:instrText>
        </w:r>
        <w:r w:rsidRPr="004A3204">
          <w:rPr>
            <w:noProof/>
            <w:szCs w:val="24"/>
          </w:rPr>
        </w:r>
        <w:r w:rsidRPr="004A3204">
          <w:rPr>
            <w:noProof/>
            <w:webHidden/>
            <w:szCs w:val="24"/>
          </w:rPr>
          <w:fldChar w:fldCharType="separate"/>
        </w:r>
        <w:r w:rsidR="00F513CF">
          <w:rPr>
            <w:noProof/>
            <w:webHidden/>
            <w:szCs w:val="24"/>
          </w:rPr>
          <w:t>39</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27" w:history="1">
        <w:r w:rsidRPr="004A3204">
          <w:rPr>
            <w:rStyle w:val="Hyperlink"/>
            <w:noProof/>
            <w:sz w:val="24"/>
            <w:szCs w:val="24"/>
          </w:rPr>
          <w:t>3.2.4.</w:t>
        </w:r>
        <w:r w:rsidRPr="004A3204">
          <w:rPr>
            <w:noProof/>
            <w:szCs w:val="24"/>
          </w:rPr>
          <w:tab/>
        </w:r>
        <w:r w:rsidRPr="004A3204">
          <w:rPr>
            <w:rStyle w:val="Hyperlink"/>
            <w:rFonts w:hint="eastAsia"/>
            <w:noProof/>
            <w:sz w:val="24"/>
            <w:szCs w:val="24"/>
          </w:rPr>
          <w:t>专门的能源联合研究中心</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_Toc392853127 \h </w:instrText>
        </w:r>
        <w:r w:rsidRPr="004A3204">
          <w:rPr>
            <w:noProof/>
            <w:szCs w:val="24"/>
          </w:rPr>
        </w:r>
        <w:r w:rsidRPr="004A3204">
          <w:rPr>
            <w:noProof/>
            <w:webHidden/>
            <w:szCs w:val="24"/>
          </w:rPr>
          <w:fldChar w:fldCharType="separate"/>
        </w:r>
        <w:r w:rsidR="00F513CF">
          <w:rPr>
            <w:noProof/>
            <w:webHidden/>
            <w:szCs w:val="24"/>
          </w:rPr>
          <w:t>40</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28" w:history="1">
        <w:r w:rsidRPr="004A3204">
          <w:rPr>
            <w:rStyle w:val="Hyperlink"/>
            <w:noProof/>
            <w:sz w:val="24"/>
            <w:szCs w:val="24"/>
          </w:rPr>
          <w:t>3.2.5.</w:t>
        </w:r>
        <w:r w:rsidRPr="004A3204">
          <w:rPr>
            <w:noProof/>
            <w:szCs w:val="24"/>
          </w:rPr>
          <w:tab/>
        </w:r>
        <w:r w:rsidRPr="004A3204">
          <w:rPr>
            <w:rStyle w:val="Hyperlink"/>
            <w:rFonts w:hint="eastAsia"/>
            <w:noProof/>
            <w:sz w:val="24"/>
            <w:szCs w:val="24"/>
          </w:rPr>
          <w:t>企业系统</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_Toc392853128 \h </w:instrText>
        </w:r>
        <w:r w:rsidRPr="004A3204">
          <w:rPr>
            <w:noProof/>
            <w:szCs w:val="24"/>
          </w:rPr>
        </w:r>
        <w:r w:rsidRPr="004A3204">
          <w:rPr>
            <w:noProof/>
            <w:webHidden/>
            <w:szCs w:val="24"/>
          </w:rPr>
          <w:fldChar w:fldCharType="separate"/>
        </w:r>
        <w:r w:rsidR="00F513CF">
          <w:rPr>
            <w:noProof/>
            <w:webHidden/>
            <w:szCs w:val="24"/>
          </w:rPr>
          <w:t>41</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29" w:history="1">
        <w:r w:rsidRPr="004A3204">
          <w:rPr>
            <w:rStyle w:val="Hyperlink"/>
            <w:noProof/>
            <w:sz w:val="24"/>
            <w:szCs w:val="24"/>
          </w:rPr>
          <w:t>3.2.6.</w:t>
        </w:r>
        <w:r w:rsidRPr="004A3204">
          <w:rPr>
            <w:noProof/>
            <w:szCs w:val="24"/>
          </w:rPr>
          <w:tab/>
        </w:r>
        <w:r w:rsidRPr="004A3204">
          <w:rPr>
            <w:rStyle w:val="Hyperlink"/>
            <w:rFonts w:hint="eastAsia"/>
            <w:noProof/>
            <w:sz w:val="24"/>
            <w:szCs w:val="24"/>
          </w:rPr>
          <w:t>非盈利系统的能源专门技术研发机构</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_Toc392853129 \h </w:instrText>
        </w:r>
        <w:r w:rsidRPr="004A3204">
          <w:rPr>
            <w:noProof/>
            <w:szCs w:val="24"/>
          </w:rPr>
        </w:r>
        <w:r w:rsidRPr="004A3204">
          <w:rPr>
            <w:noProof/>
            <w:webHidden/>
            <w:szCs w:val="24"/>
          </w:rPr>
          <w:fldChar w:fldCharType="separate"/>
        </w:r>
        <w:r w:rsidR="00F513CF">
          <w:rPr>
            <w:noProof/>
            <w:webHidden/>
            <w:szCs w:val="24"/>
          </w:rPr>
          <w:t>42</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30" w:history="1">
        <w:r w:rsidRPr="004A3204">
          <w:rPr>
            <w:rStyle w:val="Hyperlink"/>
            <w:noProof/>
            <w:sz w:val="24"/>
            <w:szCs w:val="24"/>
          </w:rPr>
          <w:t>3.2.7.</w:t>
        </w:r>
        <w:r w:rsidRPr="004A3204">
          <w:rPr>
            <w:noProof/>
            <w:szCs w:val="24"/>
          </w:rPr>
          <w:tab/>
        </w:r>
        <w:r w:rsidRPr="004A3204">
          <w:rPr>
            <w:rStyle w:val="Hyperlink"/>
            <w:rFonts w:hint="eastAsia"/>
            <w:noProof/>
            <w:sz w:val="24"/>
            <w:szCs w:val="24"/>
          </w:rPr>
          <w:t>产学研体系</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_Toc392853130 \h </w:instrText>
        </w:r>
        <w:r w:rsidRPr="004A3204">
          <w:rPr>
            <w:noProof/>
            <w:szCs w:val="24"/>
          </w:rPr>
        </w:r>
        <w:r w:rsidRPr="004A3204">
          <w:rPr>
            <w:noProof/>
            <w:webHidden/>
            <w:szCs w:val="24"/>
          </w:rPr>
          <w:fldChar w:fldCharType="separate"/>
        </w:r>
        <w:r w:rsidR="00F513CF">
          <w:rPr>
            <w:noProof/>
            <w:webHidden/>
            <w:szCs w:val="24"/>
          </w:rPr>
          <w:t>43</w:t>
        </w:r>
        <w:r w:rsidRPr="004A3204">
          <w:rPr>
            <w:noProof/>
            <w:webHidden/>
            <w:szCs w:val="24"/>
          </w:rPr>
          <w:fldChar w:fldCharType="end"/>
        </w:r>
      </w:hyperlink>
    </w:p>
    <w:p w:rsidR="00CA619C" w:rsidRPr="004A3204" w:rsidRDefault="00CA619C" w:rsidP="00CA619C">
      <w:pPr>
        <w:pStyle w:val="TOC2"/>
        <w:tabs>
          <w:tab w:val="left" w:pos="1680"/>
          <w:tab w:val="right" w:leader="dot" w:pos="8948"/>
        </w:tabs>
        <w:spacing w:line="426" w:lineRule="exact"/>
        <w:ind w:firstLine="480"/>
        <w:rPr>
          <w:noProof/>
          <w:szCs w:val="24"/>
        </w:rPr>
      </w:pPr>
      <w:hyperlink w:anchor="_Toc392853131" w:history="1">
        <w:r w:rsidRPr="004A3204">
          <w:rPr>
            <w:rStyle w:val="Hyperlink"/>
            <w:noProof/>
            <w:sz w:val="24"/>
            <w:szCs w:val="24"/>
          </w:rPr>
          <w:t>3.3.</w:t>
        </w:r>
        <w:r w:rsidRPr="004A3204">
          <w:rPr>
            <w:noProof/>
            <w:szCs w:val="24"/>
          </w:rPr>
          <w:tab/>
        </w:r>
        <w:r w:rsidRPr="004A3204">
          <w:rPr>
            <w:rStyle w:val="Hyperlink"/>
            <w:rFonts w:hint="eastAsia"/>
            <w:noProof/>
            <w:sz w:val="24"/>
            <w:szCs w:val="24"/>
          </w:rPr>
          <w:t>创新技术转移及规模化路径</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_Toc392853131 \h </w:instrText>
        </w:r>
        <w:r w:rsidRPr="004A3204">
          <w:rPr>
            <w:noProof/>
            <w:szCs w:val="24"/>
          </w:rPr>
        </w:r>
        <w:r w:rsidRPr="004A3204">
          <w:rPr>
            <w:noProof/>
            <w:webHidden/>
            <w:szCs w:val="24"/>
          </w:rPr>
          <w:fldChar w:fldCharType="separate"/>
        </w:r>
        <w:r w:rsidR="00F513CF">
          <w:rPr>
            <w:noProof/>
            <w:webHidden/>
            <w:szCs w:val="24"/>
          </w:rPr>
          <w:t>43</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32" w:history="1">
        <w:r w:rsidRPr="004A3204">
          <w:rPr>
            <w:rStyle w:val="Hyperlink"/>
            <w:noProof/>
            <w:sz w:val="24"/>
            <w:szCs w:val="24"/>
          </w:rPr>
          <w:t>3.3.1.</w:t>
        </w:r>
        <w:r w:rsidRPr="004A3204">
          <w:rPr>
            <w:noProof/>
            <w:szCs w:val="24"/>
          </w:rPr>
          <w:tab/>
        </w:r>
        <w:r w:rsidRPr="004A3204">
          <w:rPr>
            <w:rStyle w:val="Hyperlink"/>
            <w:rFonts w:hint="eastAsia"/>
            <w:noProof/>
            <w:sz w:val="24"/>
            <w:szCs w:val="24"/>
          </w:rPr>
          <w:t>美国创新技术转移及路径</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_Toc392853132 \h </w:instrText>
        </w:r>
        <w:r w:rsidRPr="004A3204">
          <w:rPr>
            <w:noProof/>
            <w:szCs w:val="24"/>
          </w:rPr>
        </w:r>
        <w:r w:rsidRPr="004A3204">
          <w:rPr>
            <w:noProof/>
            <w:webHidden/>
            <w:szCs w:val="24"/>
          </w:rPr>
          <w:fldChar w:fldCharType="separate"/>
        </w:r>
        <w:r w:rsidR="00F513CF">
          <w:rPr>
            <w:noProof/>
            <w:webHidden/>
            <w:szCs w:val="24"/>
          </w:rPr>
          <w:t>43</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33" w:history="1">
        <w:r w:rsidRPr="004A3204">
          <w:rPr>
            <w:rStyle w:val="Hyperlink"/>
            <w:noProof/>
            <w:sz w:val="24"/>
            <w:szCs w:val="24"/>
          </w:rPr>
          <w:t>3.3.2.</w:t>
        </w:r>
        <w:r w:rsidRPr="004A3204">
          <w:rPr>
            <w:noProof/>
            <w:szCs w:val="24"/>
          </w:rPr>
          <w:tab/>
        </w:r>
        <w:r w:rsidRPr="004A3204">
          <w:rPr>
            <w:rStyle w:val="Hyperlink"/>
            <w:rFonts w:hint="eastAsia"/>
            <w:noProof/>
            <w:sz w:val="24"/>
            <w:szCs w:val="24"/>
          </w:rPr>
          <w:t>政府专门设立示范项目推动创新技术产业化</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_Toc392853133 \h </w:instrText>
        </w:r>
        <w:r w:rsidRPr="004A3204">
          <w:rPr>
            <w:noProof/>
            <w:szCs w:val="24"/>
          </w:rPr>
        </w:r>
        <w:r w:rsidRPr="004A3204">
          <w:rPr>
            <w:noProof/>
            <w:webHidden/>
            <w:szCs w:val="24"/>
          </w:rPr>
          <w:fldChar w:fldCharType="separate"/>
        </w:r>
        <w:r w:rsidR="00F513CF">
          <w:rPr>
            <w:noProof/>
            <w:webHidden/>
            <w:szCs w:val="24"/>
          </w:rPr>
          <w:t>45</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34" w:history="1">
        <w:r w:rsidRPr="004A3204">
          <w:rPr>
            <w:rStyle w:val="Hyperlink"/>
            <w:noProof/>
            <w:sz w:val="24"/>
            <w:szCs w:val="24"/>
          </w:rPr>
          <w:t>3.3.3.</w:t>
        </w:r>
        <w:r w:rsidRPr="004A3204">
          <w:rPr>
            <w:noProof/>
            <w:szCs w:val="24"/>
          </w:rPr>
          <w:tab/>
        </w:r>
        <w:r w:rsidRPr="004A3204">
          <w:rPr>
            <w:rStyle w:val="Hyperlink"/>
            <w:rFonts w:hint="eastAsia"/>
            <w:noProof/>
            <w:sz w:val="24"/>
            <w:szCs w:val="24"/>
          </w:rPr>
          <w:t>风险投资推动创新技术产业化</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_Toc392853134 \h </w:instrText>
        </w:r>
        <w:r w:rsidRPr="004A3204">
          <w:rPr>
            <w:noProof/>
            <w:szCs w:val="24"/>
          </w:rPr>
        </w:r>
        <w:r w:rsidRPr="004A3204">
          <w:rPr>
            <w:noProof/>
            <w:webHidden/>
            <w:szCs w:val="24"/>
          </w:rPr>
          <w:fldChar w:fldCharType="separate"/>
        </w:r>
        <w:r w:rsidR="00F513CF">
          <w:rPr>
            <w:noProof/>
            <w:webHidden/>
            <w:szCs w:val="24"/>
          </w:rPr>
          <w:t>46</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35" w:history="1">
        <w:r w:rsidRPr="004A3204">
          <w:rPr>
            <w:rStyle w:val="Hyperlink"/>
            <w:noProof/>
            <w:sz w:val="24"/>
            <w:szCs w:val="24"/>
          </w:rPr>
          <w:t>3.3.4.</w:t>
        </w:r>
        <w:r w:rsidRPr="004A3204">
          <w:rPr>
            <w:noProof/>
            <w:szCs w:val="24"/>
          </w:rPr>
          <w:tab/>
        </w:r>
        <w:r w:rsidRPr="004A3204">
          <w:rPr>
            <w:rStyle w:val="Hyperlink"/>
            <w:rFonts w:hint="eastAsia"/>
            <w:noProof/>
            <w:sz w:val="24"/>
            <w:szCs w:val="24"/>
          </w:rPr>
          <w:t>行业协会推进创新技术产业化</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_Toc392853135 \h </w:instrText>
        </w:r>
        <w:r w:rsidRPr="004A3204">
          <w:rPr>
            <w:noProof/>
            <w:szCs w:val="24"/>
          </w:rPr>
        </w:r>
        <w:r w:rsidRPr="004A3204">
          <w:rPr>
            <w:noProof/>
            <w:webHidden/>
            <w:szCs w:val="24"/>
          </w:rPr>
          <w:fldChar w:fldCharType="separate"/>
        </w:r>
        <w:r w:rsidR="00F513CF">
          <w:rPr>
            <w:noProof/>
            <w:webHidden/>
            <w:szCs w:val="24"/>
          </w:rPr>
          <w:t>46</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36" w:history="1">
        <w:r w:rsidRPr="004A3204">
          <w:rPr>
            <w:rStyle w:val="Hyperlink"/>
            <w:noProof/>
            <w:sz w:val="24"/>
            <w:szCs w:val="24"/>
          </w:rPr>
          <w:t>3.3.5.</w:t>
        </w:r>
        <w:r w:rsidRPr="004A3204">
          <w:rPr>
            <w:noProof/>
            <w:szCs w:val="24"/>
          </w:rPr>
          <w:tab/>
        </w:r>
        <w:r w:rsidRPr="004A3204">
          <w:rPr>
            <w:rStyle w:val="Hyperlink"/>
            <w:rFonts w:hint="eastAsia"/>
            <w:noProof/>
            <w:sz w:val="24"/>
            <w:szCs w:val="24"/>
          </w:rPr>
          <w:t>多种灵活商业模式助推创新技术产业化</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_Toc392853136 \h </w:instrText>
        </w:r>
        <w:r w:rsidRPr="004A3204">
          <w:rPr>
            <w:noProof/>
            <w:szCs w:val="24"/>
          </w:rPr>
        </w:r>
        <w:r w:rsidRPr="004A3204">
          <w:rPr>
            <w:noProof/>
            <w:webHidden/>
            <w:szCs w:val="24"/>
          </w:rPr>
          <w:fldChar w:fldCharType="separate"/>
        </w:r>
        <w:r w:rsidR="00F513CF">
          <w:rPr>
            <w:noProof/>
            <w:webHidden/>
            <w:szCs w:val="24"/>
          </w:rPr>
          <w:t>47</w:t>
        </w:r>
        <w:r w:rsidRPr="004A3204">
          <w:rPr>
            <w:noProof/>
            <w:webHidden/>
            <w:szCs w:val="24"/>
          </w:rPr>
          <w:fldChar w:fldCharType="end"/>
        </w:r>
      </w:hyperlink>
    </w:p>
    <w:p w:rsidR="00CA619C" w:rsidRPr="004A3204" w:rsidRDefault="00CA619C" w:rsidP="00CA619C">
      <w:pPr>
        <w:pStyle w:val="TOC2"/>
        <w:tabs>
          <w:tab w:val="left" w:pos="1680"/>
          <w:tab w:val="right" w:leader="dot" w:pos="8948"/>
        </w:tabs>
        <w:spacing w:line="426" w:lineRule="exact"/>
        <w:ind w:firstLine="480"/>
        <w:rPr>
          <w:noProof/>
          <w:szCs w:val="24"/>
        </w:rPr>
      </w:pPr>
      <w:hyperlink w:anchor="_Toc392853137" w:history="1">
        <w:r w:rsidRPr="004A3204">
          <w:rPr>
            <w:rStyle w:val="Hyperlink"/>
            <w:noProof/>
            <w:sz w:val="24"/>
            <w:szCs w:val="24"/>
          </w:rPr>
          <w:t>3.4.</w:t>
        </w:r>
        <w:r w:rsidRPr="004A3204">
          <w:rPr>
            <w:noProof/>
            <w:szCs w:val="24"/>
          </w:rPr>
          <w:tab/>
        </w:r>
        <w:r w:rsidRPr="004A3204">
          <w:rPr>
            <w:rStyle w:val="Hyperlink"/>
            <w:rFonts w:hint="eastAsia"/>
            <w:noProof/>
            <w:sz w:val="24"/>
            <w:szCs w:val="24"/>
          </w:rPr>
          <w:t>技术创新服务</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_Toc392853137 \h </w:instrText>
        </w:r>
        <w:r w:rsidRPr="004A3204">
          <w:rPr>
            <w:noProof/>
            <w:szCs w:val="24"/>
          </w:rPr>
        </w:r>
        <w:r w:rsidRPr="004A3204">
          <w:rPr>
            <w:noProof/>
            <w:webHidden/>
            <w:szCs w:val="24"/>
          </w:rPr>
          <w:fldChar w:fldCharType="separate"/>
        </w:r>
        <w:r w:rsidR="00F513CF">
          <w:rPr>
            <w:noProof/>
            <w:webHidden/>
            <w:szCs w:val="24"/>
          </w:rPr>
          <w:t>48</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38" w:history="1">
        <w:r w:rsidRPr="004A3204">
          <w:rPr>
            <w:rStyle w:val="Hyperlink"/>
            <w:noProof/>
            <w:sz w:val="24"/>
            <w:szCs w:val="24"/>
          </w:rPr>
          <w:t>3.4.1.</w:t>
        </w:r>
        <w:r w:rsidRPr="004A3204">
          <w:rPr>
            <w:noProof/>
            <w:szCs w:val="24"/>
          </w:rPr>
          <w:tab/>
        </w:r>
        <w:r w:rsidRPr="004A3204">
          <w:rPr>
            <w:rStyle w:val="Hyperlink"/>
            <w:rFonts w:hint="eastAsia"/>
            <w:noProof/>
            <w:sz w:val="24"/>
            <w:szCs w:val="24"/>
          </w:rPr>
          <w:t>美国成熟的资本市场及融资服务体系为技术创新提供资金支持</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_Toc392853138 \h </w:instrText>
        </w:r>
        <w:r w:rsidRPr="004A3204">
          <w:rPr>
            <w:noProof/>
            <w:szCs w:val="24"/>
          </w:rPr>
        </w:r>
        <w:r w:rsidRPr="004A3204">
          <w:rPr>
            <w:noProof/>
            <w:webHidden/>
            <w:szCs w:val="24"/>
          </w:rPr>
          <w:fldChar w:fldCharType="separate"/>
        </w:r>
        <w:r w:rsidR="00F513CF">
          <w:rPr>
            <w:noProof/>
            <w:webHidden/>
            <w:szCs w:val="24"/>
          </w:rPr>
          <w:t>48</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39" w:history="1">
        <w:r w:rsidRPr="004A3204">
          <w:rPr>
            <w:rStyle w:val="Hyperlink"/>
            <w:noProof/>
            <w:sz w:val="24"/>
            <w:szCs w:val="24"/>
          </w:rPr>
          <w:t>3.4.2.</w:t>
        </w:r>
        <w:r w:rsidRPr="004A3204">
          <w:rPr>
            <w:noProof/>
            <w:szCs w:val="24"/>
          </w:rPr>
          <w:tab/>
        </w:r>
        <w:r w:rsidRPr="004A3204">
          <w:rPr>
            <w:rStyle w:val="Hyperlink"/>
            <w:rFonts w:hint="eastAsia"/>
            <w:noProof/>
            <w:sz w:val="24"/>
            <w:szCs w:val="24"/>
          </w:rPr>
          <w:t>美国重视科技创新人才积累与知识创新</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_Toc392853139 \h </w:instrText>
        </w:r>
        <w:r w:rsidRPr="004A3204">
          <w:rPr>
            <w:noProof/>
            <w:szCs w:val="24"/>
          </w:rPr>
        </w:r>
        <w:r w:rsidRPr="004A3204">
          <w:rPr>
            <w:noProof/>
            <w:webHidden/>
            <w:szCs w:val="24"/>
          </w:rPr>
          <w:fldChar w:fldCharType="separate"/>
        </w:r>
        <w:r w:rsidR="00F513CF">
          <w:rPr>
            <w:noProof/>
            <w:webHidden/>
            <w:szCs w:val="24"/>
          </w:rPr>
          <w:t>49</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40" w:history="1">
        <w:r w:rsidRPr="004A3204">
          <w:rPr>
            <w:rStyle w:val="Hyperlink"/>
            <w:noProof/>
            <w:sz w:val="24"/>
            <w:szCs w:val="24"/>
          </w:rPr>
          <w:t>3.4.3.</w:t>
        </w:r>
        <w:r w:rsidRPr="004A3204">
          <w:rPr>
            <w:noProof/>
            <w:szCs w:val="24"/>
          </w:rPr>
          <w:tab/>
        </w:r>
        <w:r w:rsidRPr="004A3204">
          <w:rPr>
            <w:rStyle w:val="Hyperlink"/>
            <w:rFonts w:hint="eastAsia"/>
            <w:noProof/>
            <w:sz w:val="24"/>
            <w:szCs w:val="24"/>
          </w:rPr>
          <w:t>美国建立“绿色技术”专利通道</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_Toc392853140 \h </w:instrText>
        </w:r>
        <w:r w:rsidRPr="004A3204">
          <w:rPr>
            <w:noProof/>
            <w:szCs w:val="24"/>
          </w:rPr>
        </w:r>
        <w:r w:rsidRPr="004A3204">
          <w:rPr>
            <w:noProof/>
            <w:webHidden/>
            <w:szCs w:val="24"/>
          </w:rPr>
          <w:fldChar w:fldCharType="separate"/>
        </w:r>
        <w:r w:rsidR="00F513CF">
          <w:rPr>
            <w:noProof/>
            <w:webHidden/>
            <w:szCs w:val="24"/>
          </w:rPr>
          <w:t>49</w:t>
        </w:r>
        <w:r w:rsidRPr="004A3204">
          <w:rPr>
            <w:noProof/>
            <w:webHidden/>
            <w:szCs w:val="24"/>
          </w:rPr>
          <w:fldChar w:fldCharType="end"/>
        </w:r>
      </w:hyperlink>
    </w:p>
    <w:p w:rsidR="00CA619C" w:rsidRPr="004A3204" w:rsidRDefault="00CA619C" w:rsidP="00CA619C">
      <w:pPr>
        <w:pStyle w:val="TOC2"/>
        <w:tabs>
          <w:tab w:val="left" w:pos="1680"/>
          <w:tab w:val="right" w:leader="dot" w:pos="8948"/>
        </w:tabs>
        <w:spacing w:line="426" w:lineRule="exact"/>
        <w:ind w:firstLine="480"/>
        <w:rPr>
          <w:noProof/>
          <w:szCs w:val="24"/>
        </w:rPr>
      </w:pPr>
      <w:hyperlink w:anchor="_Toc392853141" w:history="1">
        <w:r w:rsidRPr="004A3204">
          <w:rPr>
            <w:rStyle w:val="Hyperlink"/>
            <w:noProof/>
            <w:sz w:val="24"/>
            <w:szCs w:val="24"/>
          </w:rPr>
          <w:t>3.5.</w:t>
        </w:r>
        <w:r w:rsidRPr="004A3204">
          <w:rPr>
            <w:noProof/>
            <w:szCs w:val="24"/>
          </w:rPr>
          <w:tab/>
        </w:r>
        <w:r w:rsidRPr="004A3204">
          <w:rPr>
            <w:rStyle w:val="Hyperlink"/>
            <w:rFonts w:hint="eastAsia"/>
            <w:noProof/>
            <w:sz w:val="24"/>
            <w:szCs w:val="24"/>
          </w:rPr>
          <w:t>政策环境与社会氛围</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_Toc392853141 \h </w:instrText>
        </w:r>
        <w:r w:rsidRPr="004A3204">
          <w:rPr>
            <w:noProof/>
            <w:szCs w:val="24"/>
          </w:rPr>
        </w:r>
        <w:r w:rsidRPr="004A3204">
          <w:rPr>
            <w:noProof/>
            <w:webHidden/>
            <w:szCs w:val="24"/>
          </w:rPr>
          <w:fldChar w:fldCharType="separate"/>
        </w:r>
        <w:r w:rsidR="00F513CF">
          <w:rPr>
            <w:noProof/>
            <w:webHidden/>
            <w:szCs w:val="24"/>
          </w:rPr>
          <w:t>49</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42" w:history="1">
        <w:r w:rsidRPr="004A3204">
          <w:rPr>
            <w:rStyle w:val="Hyperlink"/>
            <w:noProof/>
            <w:sz w:val="24"/>
            <w:szCs w:val="24"/>
          </w:rPr>
          <w:t>3.5.1.</w:t>
        </w:r>
        <w:r w:rsidRPr="004A3204">
          <w:rPr>
            <w:noProof/>
            <w:szCs w:val="24"/>
          </w:rPr>
          <w:tab/>
        </w:r>
        <w:r w:rsidRPr="004A3204">
          <w:rPr>
            <w:rStyle w:val="Hyperlink"/>
            <w:rFonts w:hint="eastAsia"/>
            <w:noProof/>
            <w:sz w:val="24"/>
            <w:szCs w:val="24"/>
          </w:rPr>
          <w:t>良好的新兴能源产业发展战略与措施</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_Toc392853142 \h </w:instrText>
        </w:r>
        <w:r w:rsidRPr="004A3204">
          <w:rPr>
            <w:noProof/>
            <w:szCs w:val="24"/>
          </w:rPr>
        </w:r>
        <w:r w:rsidRPr="004A3204">
          <w:rPr>
            <w:noProof/>
            <w:webHidden/>
            <w:szCs w:val="24"/>
          </w:rPr>
          <w:fldChar w:fldCharType="separate"/>
        </w:r>
        <w:r w:rsidR="00F513CF">
          <w:rPr>
            <w:noProof/>
            <w:webHidden/>
            <w:szCs w:val="24"/>
          </w:rPr>
          <w:t>49</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43" w:history="1">
        <w:r w:rsidRPr="004A3204">
          <w:rPr>
            <w:rStyle w:val="Hyperlink"/>
            <w:noProof/>
            <w:sz w:val="24"/>
            <w:szCs w:val="24"/>
          </w:rPr>
          <w:t>3.5.2.</w:t>
        </w:r>
        <w:r w:rsidRPr="004A3204">
          <w:rPr>
            <w:noProof/>
            <w:szCs w:val="24"/>
          </w:rPr>
          <w:tab/>
        </w:r>
        <w:r w:rsidRPr="004A3204">
          <w:rPr>
            <w:rStyle w:val="Hyperlink"/>
            <w:rFonts w:hint="eastAsia"/>
            <w:noProof/>
            <w:sz w:val="24"/>
            <w:szCs w:val="24"/>
          </w:rPr>
          <w:t>良好的法律及政策环境</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_Toc392853143 \h </w:instrText>
        </w:r>
        <w:r w:rsidRPr="004A3204">
          <w:rPr>
            <w:noProof/>
            <w:szCs w:val="24"/>
          </w:rPr>
        </w:r>
        <w:r w:rsidRPr="004A3204">
          <w:rPr>
            <w:noProof/>
            <w:webHidden/>
            <w:szCs w:val="24"/>
          </w:rPr>
          <w:fldChar w:fldCharType="separate"/>
        </w:r>
        <w:r w:rsidR="00F513CF">
          <w:rPr>
            <w:noProof/>
            <w:webHidden/>
            <w:szCs w:val="24"/>
          </w:rPr>
          <w:t>50</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44" w:history="1">
        <w:r w:rsidRPr="004A3204">
          <w:rPr>
            <w:rStyle w:val="Hyperlink"/>
            <w:noProof/>
            <w:sz w:val="24"/>
            <w:szCs w:val="24"/>
          </w:rPr>
          <w:t>3.5.3.</w:t>
        </w:r>
        <w:r w:rsidRPr="004A3204">
          <w:rPr>
            <w:noProof/>
            <w:szCs w:val="24"/>
          </w:rPr>
          <w:tab/>
        </w:r>
        <w:r w:rsidRPr="004A3204">
          <w:rPr>
            <w:rStyle w:val="Hyperlink"/>
            <w:rFonts w:hint="eastAsia"/>
            <w:noProof/>
            <w:sz w:val="24"/>
            <w:szCs w:val="24"/>
          </w:rPr>
          <w:t>以明确的产业发展目标及规划引导技术创新</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_Toc392853144 \h </w:instrText>
        </w:r>
        <w:r w:rsidRPr="004A3204">
          <w:rPr>
            <w:noProof/>
            <w:szCs w:val="24"/>
          </w:rPr>
        </w:r>
        <w:r w:rsidRPr="004A3204">
          <w:rPr>
            <w:noProof/>
            <w:webHidden/>
            <w:szCs w:val="24"/>
          </w:rPr>
          <w:fldChar w:fldCharType="separate"/>
        </w:r>
        <w:r w:rsidR="00F513CF">
          <w:rPr>
            <w:noProof/>
            <w:webHidden/>
            <w:szCs w:val="24"/>
          </w:rPr>
          <w:t>51</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45" w:history="1">
        <w:r w:rsidRPr="004A3204">
          <w:rPr>
            <w:rStyle w:val="Hyperlink"/>
            <w:noProof/>
            <w:sz w:val="24"/>
            <w:szCs w:val="24"/>
          </w:rPr>
          <w:t>3.5.4.</w:t>
        </w:r>
        <w:r w:rsidRPr="004A3204">
          <w:rPr>
            <w:noProof/>
            <w:szCs w:val="24"/>
          </w:rPr>
          <w:tab/>
        </w:r>
        <w:r w:rsidRPr="004A3204">
          <w:rPr>
            <w:rStyle w:val="Hyperlink"/>
            <w:rFonts w:hint="eastAsia"/>
            <w:noProof/>
            <w:sz w:val="24"/>
            <w:szCs w:val="24"/>
          </w:rPr>
          <w:t>政府资助研发及健全的产业财税政策扶持</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_Toc392853145 \h </w:instrText>
        </w:r>
        <w:r w:rsidRPr="004A3204">
          <w:rPr>
            <w:noProof/>
            <w:szCs w:val="24"/>
          </w:rPr>
        </w:r>
        <w:r w:rsidRPr="004A3204">
          <w:rPr>
            <w:noProof/>
            <w:webHidden/>
            <w:szCs w:val="24"/>
          </w:rPr>
          <w:fldChar w:fldCharType="separate"/>
        </w:r>
        <w:r w:rsidR="00F513CF">
          <w:rPr>
            <w:noProof/>
            <w:webHidden/>
            <w:szCs w:val="24"/>
          </w:rPr>
          <w:t>51</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46" w:history="1">
        <w:r w:rsidRPr="004A3204">
          <w:rPr>
            <w:rStyle w:val="Hyperlink"/>
            <w:noProof/>
            <w:sz w:val="24"/>
            <w:szCs w:val="24"/>
          </w:rPr>
          <w:t>3.5.5.</w:t>
        </w:r>
        <w:r w:rsidRPr="004A3204">
          <w:rPr>
            <w:noProof/>
            <w:szCs w:val="24"/>
          </w:rPr>
          <w:tab/>
        </w:r>
        <w:r w:rsidRPr="004A3204">
          <w:rPr>
            <w:rStyle w:val="Hyperlink"/>
            <w:rFonts w:hint="eastAsia"/>
            <w:noProof/>
            <w:sz w:val="24"/>
            <w:szCs w:val="24"/>
          </w:rPr>
          <w:t>出台与产业发展阶段相匹配的财政及税收扶持政策</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_Toc392853146 \h </w:instrText>
        </w:r>
        <w:r w:rsidRPr="004A3204">
          <w:rPr>
            <w:noProof/>
            <w:szCs w:val="24"/>
          </w:rPr>
        </w:r>
        <w:r w:rsidRPr="004A3204">
          <w:rPr>
            <w:noProof/>
            <w:webHidden/>
            <w:szCs w:val="24"/>
          </w:rPr>
          <w:fldChar w:fldCharType="separate"/>
        </w:r>
        <w:r w:rsidR="00F513CF">
          <w:rPr>
            <w:noProof/>
            <w:webHidden/>
            <w:szCs w:val="24"/>
          </w:rPr>
          <w:t>53</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47" w:history="1">
        <w:r w:rsidRPr="004A3204">
          <w:rPr>
            <w:rStyle w:val="Hyperlink"/>
            <w:noProof/>
            <w:sz w:val="24"/>
            <w:szCs w:val="24"/>
          </w:rPr>
          <w:t>3.5.6.</w:t>
        </w:r>
        <w:r w:rsidRPr="004A3204">
          <w:rPr>
            <w:noProof/>
            <w:szCs w:val="24"/>
          </w:rPr>
          <w:tab/>
        </w:r>
        <w:r w:rsidRPr="004A3204">
          <w:rPr>
            <w:rStyle w:val="Hyperlink"/>
            <w:rFonts w:hint="eastAsia"/>
            <w:noProof/>
            <w:sz w:val="24"/>
            <w:szCs w:val="24"/>
          </w:rPr>
          <w:t>严格的市场及环境监管</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_Toc392853147 \h </w:instrText>
        </w:r>
        <w:r w:rsidRPr="004A3204">
          <w:rPr>
            <w:noProof/>
            <w:szCs w:val="24"/>
          </w:rPr>
        </w:r>
        <w:r w:rsidRPr="004A3204">
          <w:rPr>
            <w:noProof/>
            <w:webHidden/>
            <w:szCs w:val="24"/>
          </w:rPr>
          <w:fldChar w:fldCharType="separate"/>
        </w:r>
        <w:r w:rsidR="00F513CF">
          <w:rPr>
            <w:noProof/>
            <w:webHidden/>
            <w:szCs w:val="24"/>
          </w:rPr>
          <w:t>53</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48" w:history="1">
        <w:r w:rsidRPr="004A3204">
          <w:rPr>
            <w:rStyle w:val="Hyperlink"/>
            <w:noProof/>
            <w:sz w:val="24"/>
            <w:szCs w:val="24"/>
          </w:rPr>
          <w:t>3.5.7.</w:t>
        </w:r>
        <w:r w:rsidRPr="004A3204">
          <w:rPr>
            <w:noProof/>
            <w:szCs w:val="24"/>
          </w:rPr>
          <w:tab/>
        </w:r>
        <w:r w:rsidRPr="004A3204">
          <w:rPr>
            <w:rStyle w:val="Hyperlink"/>
            <w:rFonts w:hint="eastAsia"/>
            <w:noProof/>
            <w:sz w:val="24"/>
            <w:szCs w:val="24"/>
          </w:rPr>
          <w:t>政府和非政府组织都是鼓励技术创新的政策环境创造者</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_Toc392853148 \h </w:instrText>
        </w:r>
        <w:r w:rsidRPr="004A3204">
          <w:rPr>
            <w:noProof/>
            <w:szCs w:val="24"/>
          </w:rPr>
        </w:r>
        <w:r w:rsidRPr="004A3204">
          <w:rPr>
            <w:noProof/>
            <w:webHidden/>
            <w:szCs w:val="24"/>
          </w:rPr>
          <w:fldChar w:fldCharType="separate"/>
        </w:r>
        <w:r w:rsidR="00F513CF">
          <w:rPr>
            <w:noProof/>
            <w:webHidden/>
            <w:szCs w:val="24"/>
          </w:rPr>
          <w:t>53</w:t>
        </w:r>
        <w:r w:rsidRPr="004A3204">
          <w:rPr>
            <w:noProof/>
            <w:webHidden/>
            <w:szCs w:val="24"/>
          </w:rPr>
          <w:fldChar w:fldCharType="end"/>
        </w:r>
      </w:hyperlink>
    </w:p>
    <w:p w:rsidR="00CA619C" w:rsidRPr="004A3204" w:rsidRDefault="00CA619C" w:rsidP="00CA619C">
      <w:pPr>
        <w:pStyle w:val="TOC2"/>
        <w:tabs>
          <w:tab w:val="left" w:pos="1680"/>
          <w:tab w:val="right" w:leader="dot" w:pos="8948"/>
        </w:tabs>
        <w:spacing w:line="426" w:lineRule="exact"/>
        <w:ind w:firstLine="480"/>
        <w:rPr>
          <w:noProof/>
          <w:szCs w:val="24"/>
        </w:rPr>
      </w:pPr>
      <w:hyperlink w:anchor="_Toc392853149" w:history="1">
        <w:r w:rsidRPr="004A3204">
          <w:rPr>
            <w:rStyle w:val="Hyperlink"/>
            <w:noProof/>
            <w:sz w:val="24"/>
            <w:szCs w:val="24"/>
          </w:rPr>
          <w:t>3.6.</w:t>
        </w:r>
        <w:r w:rsidRPr="004A3204">
          <w:rPr>
            <w:noProof/>
            <w:szCs w:val="24"/>
          </w:rPr>
          <w:tab/>
        </w:r>
        <w:r w:rsidRPr="004A3204">
          <w:rPr>
            <w:rStyle w:val="Hyperlink"/>
            <w:rFonts w:hint="eastAsia"/>
            <w:noProof/>
            <w:sz w:val="24"/>
            <w:szCs w:val="24"/>
          </w:rPr>
          <w:t>美国经验总结及对中国的启示</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_Toc392853149 \h </w:instrText>
        </w:r>
        <w:r w:rsidRPr="004A3204">
          <w:rPr>
            <w:noProof/>
            <w:szCs w:val="24"/>
          </w:rPr>
        </w:r>
        <w:r w:rsidRPr="004A3204">
          <w:rPr>
            <w:noProof/>
            <w:webHidden/>
            <w:szCs w:val="24"/>
          </w:rPr>
          <w:fldChar w:fldCharType="separate"/>
        </w:r>
        <w:r w:rsidR="00F513CF">
          <w:rPr>
            <w:noProof/>
            <w:webHidden/>
            <w:szCs w:val="24"/>
          </w:rPr>
          <w:t>53</w:t>
        </w:r>
        <w:r w:rsidRPr="004A3204">
          <w:rPr>
            <w:noProof/>
            <w:webHidden/>
            <w:szCs w:val="24"/>
          </w:rPr>
          <w:fldChar w:fldCharType="end"/>
        </w:r>
      </w:hyperlink>
    </w:p>
    <w:p w:rsidR="00CA619C" w:rsidRPr="004A3204" w:rsidRDefault="00CA619C" w:rsidP="00CA619C">
      <w:pPr>
        <w:pStyle w:val="TOC1"/>
        <w:tabs>
          <w:tab w:val="left" w:pos="1260"/>
          <w:tab w:val="right" w:leader="dot" w:pos="8948"/>
        </w:tabs>
        <w:spacing w:line="426" w:lineRule="exact"/>
        <w:ind w:firstLine="480"/>
        <w:rPr>
          <w:noProof/>
          <w:szCs w:val="24"/>
        </w:rPr>
      </w:pPr>
      <w:hyperlink w:anchor="_Toc392853150" w:history="1">
        <w:r w:rsidRPr="004A3204">
          <w:rPr>
            <w:rStyle w:val="Hyperlink"/>
            <w:rFonts w:ascii="宋体" w:hAnsi="宋体"/>
            <w:noProof/>
            <w:sz w:val="24"/>
            <w:szCs w:val="24"/>
          </w:rPr>
          <w:t>4.</w:t>
        </w:r>
        <w:r w:rsidRPr="004A3204">
          <w:rPr>
            <w:noProof/>
            <w:szCs w:val="24"/>
          </w:rPr>
          <w:tab/>
        </w:r>
        <w:r w:rsidRPr="004A3204">
          <w:rPr>
            <w:rStyle w:val="Hyperlink"/>
            <w:rFonts w:ascii="宋体" w:hAnsi="宋体" w:hint="eastAsia"/>
            <w:noProof/>
            <w:sz w:val="24"/>
            <w:szCs w:val="24"/>
          </w:rPr>
          <w:t>我国新兴能源产业技术创新支撑体系现状及存在的问题</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_Toc392853150 \h </w:instrText>
        </w:r>
        <w:r w:rsidRPr="004A3204">
          <w:rPr>
            <w:noProof/>
            <w:szCs w:val="24"/>
          </w:rPr>
        </w:r>
        <w:r w:rsidRPr="004A3204">
          <w:rPr>
            <w:noProof/>
            <w:webHidden/>
            <w:szCs w:val="24"/>
          </w:rPr>
          <w:fldChar w:fldCharType="separate"/>
        </w:r>
        <w:r w:rsidR="00F513CF">
          <w:rPr>
            <w:noProof/>
            <w:webHidden/>
            <w:szCs w:val="24"/>
          </w:rPr>
          <w:t>54</w:t>
        </w:r>
        <w:r w:rsidRPr="004A3204">
          <w:rPr>
            <w:noProof/>
            <w:webHidden/>
            <w:szCs w:val="24"/>
          </w:rPr>
          <w:fldChar w:fldCharType="end"/>
        </w:r>
      </w:hyperlink>
    </w:p>
    <w:p w:rsidR="00CA619C" w:rsidRPr="004A3204" w:rsidRDefault="00CA619C" w:rsidP="00CA619C">
      <w:pPr>
        <w:pStyle w:val="TOC2"/>
        <w:tabs>
          <w:tab w:val="left" w:pos="1680"/>
          <w:tab w:val="right" w:leader="dot" w:pos="8948"/>
        </w:tabs>
        <w:spacing w:line="426" w:lineRule="exact"/>
        <w:ind w:firstLine="480"/>
        <w:rPr>
          <w:noProof/>
          <w:szCs w:val="24"/>
        </w:rPr>
      </w:pPr>
      <w:hyperlink w:anchor="_Toc392853151" w:history="1">
        <w:r w:rsidRPr="004A3204">
          <w:rPr>
            <w:rStyle w:val="Hyperlink"/>
            <w:noProof/>
            <w:sz w:val="24"/>
            <w:szCs w:val="24"/>
          </w:rPr>
          <w:t>4.1.</w:t>
        </w:r>
        <w:r w:rsidRPr="004A3204">
          <w:rPr>
            <w:noProof/>
            <w:szCs w:val="24"/>
          </w:rPr>
          <w:tab/>
        </w:r>
        <w:r w:rsidRPr="004A3204">
          <w:rPr>
            <w:rStyle w:val="Hyperlink"/>
            <w:rFonts w:hint="eastAsia"/>
            <w:noProof/>
            <w:sz w:val="24"/>
            <w:szCs w:val="24"/>
          </w:rPr>
          <w:t>创新技术供给现状</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_Toc392853151 \h </w:instrText>
        </w:r>
        <w:r w:rsidRPr="004A3204">
          <w:rPr>
            <w:noProof/>
            <w:szCs w:val="24"/>
          </w:rPr>
        </w:r>
        <w:r w:rsidRPr="004A3204">
          <w:rPr>
            <w:noProof/>
            <w:webHidden/>
            <w:szCs w:val="24"/>
          </w:rPr>
          <w:fldChar w:fldCharType="separate"/>
        </w:r>
        <w:r w:rsidR="00F513CF">
          <w:rPr>
            <w:noProof/>
            <w:webHidden/>
            <w:szCs w:val="24"/>
          </w:rPr>
          <w:t>54</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52" w:history="1">
        <w:r w:rsidRPr="004A3204">
          <w:rPr>
            <w:rStyle w:val="Hyperlink"/>
            <w:noProof/>
            <w:sz w:val="24"/>
            <w:szCs w:val="24"/>
          </w:rPr>
          <w:t>4.1.1.</w:t>
        </w:r>
        <w:r w:rsidRPr="004A3204">
          <w:rPr>
            <w:noProof/>
            <w:szCs w:val="24"/>
          </w:rPr>
          <w:tab/>
        </w:r>
        <w:r w:rsidRPr="004A3204">
          <w:rPr>
            <w:rStyle w:val="Hyperlink"/>
            <w:rFonts w:hint="eastAsia"/>
            <w:noProof/>
            <w:sz w:val="24"/>
            <w:szCs w:val="24"/>
          </w:rPr>
          <w:t>新兴能源产业技术创新遭遇瓶颈</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_Toc392853152 \h </w:instrText>
        </w:r>
        <w:r w:rsidRPr="004A3204">
          <w:rPr>
            <w:noProof/>
            <w:szCs w:val="24"/>
          </w:rPr>
        </w:r>
        <w:r w:rsidRPr="004A3204">
          <w:rPr>
            <w:noProof/>
            <w:webHidden/>
            <w:szCs w:val="24"/>
          </w:rPr>
          <w:fldChar w:fldCharType="separate"/>
        </w:r>
        <w:r w:rsidR="00F513CF">
          <w:rPr>
            <w:noProof/>
            <w:webHidden/>
            <w:szCs w:val="24"/>
          </w:rPr>
          <w:t>54</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53" w:history="1">
        <w:r w:rsidRPr="004A3204">
          <w:rPr>
            <w:rStyle w:val="Hyperlink"/>
            <w:noProof/>
            <w:sz w:val="24"/>
            <w:szCs w:val="24"/>
          </w:rPr>
          <w:t>4.1.2.</w:t>
        </w:r>
        <w:r w:rsidRPr="004A3204">
          <w:rPr>
            <w:noProof/>
            <w:szCs w:val="24"/>
          </w:rPr>
          <w:tab/>
        </w:r>
        <w:r w:rsidRPr="004A3204">
          <w:rPr>
            <w:rStyle w:val="Hyperlink"/>
            <w:rFonts w:hint="eastAsia"/>
            <w:noProof/>
            <w:sz w:val="24"/>
            <w:szCs w:val="24"/>
          </w:rPr>
          <w:t>创新供给条件不足，产学研局面较为混乱</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_Toc392853153 \h </w:instrText>
        </w:r>
        <w:r w:rsidRPr="004A3204">
          <w:rPr>
            <w:noProof/>
            <w:szCs w:val="24"/>
          </w:rPr>
        </w:r>
        <w:r w:rsidRPr="004A3204">
          <w:rPr>
            <w:noProof/>
            <w:webHidden/>
            <w:szCs w:val="24"/>
          </w:rPr>
          <w:fldChar w:fldCharType="separate"/>
        </w:r>
        <w:r w:rsidR="00F513CF">
          <w:rPr>
            <w:noProof/>
            <w:webHidden/>
            <w:szCs w:val="24"/>
          </w:rPr>
          <w:t>55</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54" w:history="1">
        <w:r w:rsidRPr="004A3204">
          <w:rPr>
            <w:rStyle w:val="Hyperlink"/>
            <w:noProof/>
            <w:sz w:val="24"/>
            <w:szCs w:val="24"/>
          </w:rPr>
          <w:t>4.1.3.</w:t>
        </w:r>
        <w:r w:rsidRPr="004A3204">
          <w:rPr>
            <w:noProof/>
            <w:szCs w:val="24"/>
          </w:rPr>
          <w:tab/>
        </w:r>
        <w:r w:rsidRPr="004A3204">
          <w:rPr>
            <w:rStyle w:val="Hyperlink"/>
            <w:rFonts w:hint="eastAsia"/>
            <w:noProof/>
            <w:sz w:val="24"/>
            <w:szCs w:val="24"/>
          </w:rPr>
          <w:t>我国的公共研发能力在改革中被削弱</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_Toc392853154 \h </w:instrText>
        </w:r>
        <w:r w:rsidRPr="004A3204">
          <w:rPr>
            <w:noProof/>
            <w:szCs w:val="24"/>
          </w:rPr>
        </w:r>
        <w:r w:rsidRPr="004A3204">
          <w:rPr>
            <w:noProof/>
            <w:webHidden/>
            <w:szCs w:val="24"/>
          </w:rPr>
          <w:fldChar w:fldCharType="separate"/>
        </w:r>
        <w:r w:rsidR="00F513CF">
          <w:rPr>
            <w:noProof/>
            <w:webHidden/>
            <w:szCs w:val="24"/>
          </w:rPr>
          <w:t>56</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55" w:history="1">
        <w:r w:rsidRPr="004A3204">
          <w:rPr>
            <w:rStyle w:val="Hyperlink"/>
            <w:noProof/>
            <w:sz w:val="24"/>
            <w:szCs w:val="24"/>
          </w:rPr>
          <w:t>4.1.4.</w:t>
        </w:r>
        <w:r w:rsidRPr="004A3204">
          <w:rPr>
            <w:noProof/>
            <w:szCs w:val="24"/>
          </w:rPr>
          <w:tab/>
        </w:r>
        <w:r w:rsidRPr="004A3204">
          <w:rPr>
            <w:rStyle w:val="Hyperlink"/>
            <w:rFonts w:hint="eastAsia"/>
            <w:noProof/>
            <w:sz w:val="24"/>
            <w:szCs w:val="24"/>
          </w:rPr>
          <w:t>国有企业创新动力不足</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_Toc392853155 \h </w:instrText>
        </w:r>
        <w:r w:rsidRPr="004A3204">
          <w:rPr>
            <w:noProof/>
            <w:szCs w:val="24"/>
          </w:rPr>
        </w:r>
        <w:r w:rsidRPr="004A3204">
          <w:rPr>
            <w:noProof/>
            <w:webHidden/>
            <w:szCs w:val="24"/>
          </w:rPr>
          <w:fldChar w:fldCharType="separate"/>
        </w:r>
        <w:r w:rsidR="00F513CF">
          <w:rPr>
            <w:noProof/>
            <w:webHidden/>
            <w:szCs w:val="24"/>
          </w:rPr>
          <w:t>56</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56" w:history="1">
        <w:r w:rsidRPr="004A3204">
          <w:rPr>
            <w:rStyle w:val="Hyperlink"/>
            <w:noProof/>
            <w:sz w:val="24"/>
            <w:szCs w:val="24"/>
          </w:rPr>
          <w:t>4.1.5.</w:t>
        </w:r>
        <w:r w:rsidRPr="004A3204">
          <w:rPr>
            <w:noProof/>
            <w:szCs w:val="24"/>
          </w:rPr>
          <w:tab/>
        </w:r>
        <w:r w:rsidRPr="004A3204">
          <w:rPr>
            <w:rStyle w:val="Hyperlink"/>
            <w:rFonts w:hint="eastAsia"/>
            <w:noProof/>
            <w:sz w:val="24"/>
            <w:szCs w:val="24"/>
          </w:rPr>
          <w:t>中小企业创新遇到瓶颈，大小企业间缺乏协同创新</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_Toc392853156 \h </w:instrText>
        </w:r>
        <w:r w:rsidRPr="004A3204">
          <w:rPr>
            <w:noProof/>
            <w:szCs w:val="24"/>
          </w:rPr>
        </w:r>
        <w:r w:rsidRPr="004A3204">
          <w:rPr>
            <w:noProof/>
            <w:webHidden/>
            <w:szCs w:val="24"/>
          </w:rPr>
          <w:fldChar w:fldCharType="separate"/>
        </w:r>
        <w:r w:rsidR="00F513CF">
          <w:rPr>
            <w:noProof/>
            <w:webHidden/>
            <w:szCs w:val="24"/>
          </w:rPr>
          <w:t>57</w:t>
        </w:r>
        <w:r w:rsidRPr="004A3204">
          <w:rPr>
            <w:noProof/>
            <w:webHidden/>
            <w:szCs w:val="24"/>
          </w:rPr>
          <w:fldChar w:fldCharType="end"/>
        </w:r>
      </w:hyperlink>
    </w:p>
    <w:p w:rsidR="00CA619C" w:rsidRPr="004A3204" w:rsidRDefault="00CA619C" w:rsidP="00CA619C">
      <w:pPr>
        <w:pStyle w:val="TOC2"/>
        <w:tabs>
          <w:tab w:val="left" w:pos="1680"/>
          <w:tab w:val="right" w:leader="dot" w:pos="8948"/>
        </w:tabs>
        <w:spacing w:line="426" w:lineRule="exact"/>
        <w:ind w:firstLine="480"/>
        <w:rPr>
          <w:noProof/>
          <w:szCs w:val="24"/>
        </w:rPr>
      </w:pPr>
      <w:hyperlink w:anchor="_Toc392853157" w:history="1">
        <w:r w:rsidRPr="004A3204">
          <w:rPr>
            <w:rStyle w:val="Hyperlink"/>
            <w:noProof/>
            <w:sz w:val="24"/>
            <w:szCs w:val="24"/>
          </w:rPr>
          <w:t>4.2.</w:t>
        </w:r>
        <w:r w:rsidRPr="004A3204">
          <w:rPr>
            <w:noProof/>
            <w:szCs w:val="24"/>
          </w:rPr>
          <w:tab/>
        </w:r>
        <w:r w:rsidRPr="004A3204">
          <w:rPr>
            <w:rStyle w:val="Hyperlink"/>
            <w:rFonts w:hint="eastAsia"/>
            <w:noProof/>
            <w:sz w:val="24"/>
            <w:szCs w:val="24"/>
          </w:rPr>
          <w:t>技术创新支撑体系存在的问题</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_Toc392853157 \h </w:instrText>
        </w:r>
        <w:r w:rsidRPr="004A3204">
          <w:rPr>
            <w:noProof/>
            <w:szCs w:val="24"/>
          </w:rPr>
        </w:r>
        <w:r w:rsidRPr="004A3204">
          <w:rPr>
            <w:noProof/>
            <w:webHidden/>
            <w:szCs w:val="24"/>
          </w:rPr>
          <w:fldChar w:fldCharType="separate"/>
        </w:r>
        <w:r w:rsidR="00F513CF">
          <w:rPr>
            <w:noProof/>
            <w:webHidden/>
            <w:szCs w:val="24"/>
          </w:rPr>
          <w:t>57</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58" w:history="1">
        <w:r w:rsidRPr="004A3204">
          <w:rPr>
            <w:rStyle w:val="Hyperlink"/>
            <w:noProof/>
            <w:sz w:val="24"/>
            <w:szCs w:val="24"/>
          </w:rPr>
          <w:t>4.2.1.</w:t>
        </w:r>
        <w:r w:rsidRPr="004A3204">
          <w:rPr>
            <w:noProof/>
            <w:szCs w:val="24"/>
          </w:rPr>
          <w:tab/>
        </w:r>
        <w:r w:rsidRPr="004A3204">
          <w:rPr>
            <w:rStyle w:val="Hyperlink"/>
            <w:rFonts w:hint="eastAsia"/>
            <w:noProof/>
            <w:sz w:val="24"/>
            <w:szCs w:val="24"/>
          </w:rPr>
          <w:t>政府主导的方式遏制了企业创新</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_Toc392853158 \h </w:instrText>
        </w:r>
        <w:r w:rsidRPr="004A3204">
          <w:rPr>
            <w:noProof/>
            <w:szCs w:val="24"/>
          </w:rPr>
        </w:r>
        <w:r w:rsidRPr="004A3204">
          <w:rPr>
            <w:noProof/>
            <w:webHidden/>
            <w:szCs w:val="24"/>
          </w:rPr>
          <w:fldChar w:fldCharType="separate"/>
        </w:r>
        <w:r w:rsidR="00F513CF">
          <w:rPr>
            <w:noProof/>
            <w:webHidden/>
            <w:szCs w:val="24"/>
          </w:rPr>
          <w:t>58</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59" w:history="1">
        <w:r w:rsidRPr="004A3204">
          <w:rPr>
            <w:rStyle w:val="Hyperlink"/>
            <w:noProof/>
            <w:sz w:val="24"/>
            <w:szCs w:val="24"/>
          </w:rPr>
          <w:t>4.2.2.</w:t>
        </w:r>
        <w:r w:rsidRPr="004A3204">
          <w:rPr>
            <w:noProof/>
            <w:szCs w:val="24"/>
          </w:rPr>
          <w:tab/>
        </w:r>
        <w:r w:rsidRPr="004A3204">
          <w:rPr>
            <w:rStyle w:val="Hyperlink"/>
            <w:rFonts w:hint="eastAsia"/>
            <w:noProof/>
            <w:sz w:val="24"/>
            <w:szCs w:val="24"/>
          </w:rPr>
          <w:t>行政化和官本位导致大学、研究机构创新能力不足</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_Toc392853159 \h </w:instrText>
        </w:r>
        <w:r w:rsidRPr="004A3204">
          <w:rPr>
            <w:noProof/>
            <w:szCs w:val="24"/>
          </w:rPr>
        </w:r>
        <w:r w:rsidRPr="004A3204">
          <w:rPr>
            <w:noProof/>
            <w:webHidden/>
            <w:szCs w:val="24"/>
          </w:rPr>
          <w:fldChar w:fldCharType="separate"/>
        </w:r>
        <w:r w:rsidR="00F513CF">
          <w:rPr>
            <w:noProof/>
            <w:webHidden/>
            <w:szCs w:val="24"/>
          </w:rPr>
          <w:t>58</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60" w:history="1">
        <w:r w:rsidRPr="004A3204">
          <w:rPr>
            <w:rStyle w:val="Hyperlink"/>
            <w:noProof/>
            <w:sz w:val="24"/>
            <w:szCs w:val="24"/>
          </w:rPr>
          <w:t>4.2.3.</w:t>
        </w:r>
        <w:r w:rsidRPr="004A3204">
          <w:rPr>
            <w:noProof/>
            <w:szCs w:val="24"/>
          </w:rPr>
          <w:tab/>
        </w:r>
        <w:r w:rsidRPr="004A3204">
          <w:rPr>
            <w:rStyle w:val="Hyperlink"/>
            <w:rFonts w:hint="eastAsia"/>
            <w:noProof/>
            <w:sz w:val="24"/>
            <w:szCs w:val="24"/>
          </w:rPr>
          <w:t>体制分割阻碍创新</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_Toc392853160 \h </w:instrText>
        </w:r>
        <w:r w:rsidRPr="004A3204">
          <w:rPr>
            <w:noProof/>
            <w:szCs w:val="24"/>
          </w:rPr>
        </w:r>
        <w:r w:rsidRPr="004A3204">
          <w:rPr>
            <w:noProof/>
            <w:webHidden/>
            <w:szCs w:val="24"/>
          </w:rPr>
          <w:fldChar w:fldCharType="separate"/>
        </w:r>
        <w:r w:rsidR="00F513CF">
          <w:rPr>
            <w:noProof/>
            <w:webHidden/>
            <w:szCs w:val="24"/>
          </w:rPr>
          <w:t>58</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61" w:history="1">
        <w:r w:rsidRPr="004A3204">
          <w:rPr>
            <w:rStyle w:val="Hyperlink"/>
            <w:noProof/>
            <w:sz w:val="24"/>
            <w:szCs w:val="24"/>
          </w:rPr>
          <w:t>4.2.4.</w:t>
        </w:r>
        <w:r w:rsidRPr="004A3204">
          <w:rPr>
            <w:noProof/>
            <w:szCs w:val="24"/>
          </w:rPr>
          <w:tab/>
        </w:r>
        <w:r w:rsidRPr="004A3204">
          <w:rPr>
            <w:rStyle w:val="Hyperlink"/>
            <w:rFonts w:hint="eastAsia"/>
            <w:noProof/>
            <w:sz w:val="24"/>
            <w:szCs w:val="24"/>
          </w:rPr>
          <w:t>技术创新服务体系滞后</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_Toc392853161 \h </w:instrText>
        </w:r>
        <w:r w:rsidRPr="004A3204">
          <w:rPr>
            <w:noProof/>
            <w:szCs w:val="24"/>
          </w:rPr>
        </w:r>
        <w:r w:rsidRPr="004A3204">
          <w:rPr>
            <w:noProof/>
            <w:webHidden/>
            <w:szCs w:val="24"/>
          </w:rPr>
          <w:fldChar w:fldCharType="separate"/>
        </w:r>
        <w:r w:rsidR="00F513CF">
          <w:rPr>
            <w:noProof/>
            <w:webHidden/>
            <w:szCs w:val="24"/>
          </w:rPr>
          <w:t>59</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62" w:history="1">
        <w:r w:rsidRPr="004A3204">
          <w:rPr>
            <w:rStyle w:val="Hyperlink"/>
            <w:noProof/>
            <w:sz w:val="24"/>
            <w:szCs w:val="24"/>
          </w:rPr>
          <w:t>4.2.5.</w:t>
        </w:r>
        <w:r w:rsidRPr="004A3204">
          <w:rPr>
            <w:noProof/>
            <w:szCs w:val="24"/>
          </w:rPr>
          <w:tab/>
        </w:r>
        <w:r w:rsidRPr="004A3204">
          <w:rPr>
            <w:rStyle w:val="Hyperlink"/>
            <w:rFonts w:hint="eastAsia"/>
            <w:noProof/>
            <w:sz w:val="24"/>
            <w:szCs w:val="24"/>
          </w:rPr>
          <w:t>技术标准不健全</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_Toc392853162 \h </w:instrText>
        </w:r>
        <w:r w:rsidRPr="004A3204">
          <w:rPr>
            <w:noProof/>
            <w:szCs w:val="24"/>
          </w:rPr>
        </w:r>
        <w:r w:rsidRPr="004A3204">
          <w:rPr>
            <w:noProof/>
            <w:webHidden/>
            <w:szCs w:val="24"/>
          </w:rPr>
          <w:fldChar w:fldCharType="separate"/>
        </w:r>
        <w:r w:rsidR="00F513CF">
          <w:rPr>
            <w:noProof/>
            <w:webHidden/>
            <w:szCs w:val="24"/>
          </w:rPr>
          <w:t>60</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63" w:history="1">
        <w:r w:rsidRPr="004A3204">
          <w:rPr>
            <w:rStyle w:val="Hyperlink"/>
            <w:noProof/>
            <w:sz w:val="24"/>
            <w:szCs w:val="24"/>
          </w:rPr>
          <w:t>4.2.6.</w:t>
        </w:r>
        <w:r w:rsidRPr="004A3204">
          <w:rPr>
            <w:noProof/>
            <w:szCs w:val="24"/>
          </w:rPr>
          <w:tab/>
        </w:r>
        <w:r w:rsidRPr="004A3204">
          <w:rPr>
            <w:rStyle w:val="Hyperlink"/>
            <w:rFonts w:hint="eastAsia"/>
            <w:noProof/>
            <w:sz w:val="24"/>
            <w:szCs w:val="24"/>
          </w:rPr>
          <w:t>能源技术创新政策有待完善</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_Toc392853163 \h </w:instrText>
        </w:r>
        <w:r w:rsidRPr="004A3204">
          <w:rPr>
            <w:noProof/>
            <w:szCs w:val="24"/>
          </w:rPr>
        </w:r>
        <w:r w:rsidRPr="004A3204">
          <w:rPr>
            <w:noProof/>
            <w:webHidden/>
            <w:szCs w:val="24"/>
          </w:rPr>
          <w:fldChar w:fldCharType="separate"/>
        </w:r>
        <w:r w:rsidR="00F513CF">
          <w:rPr>
            <w:noProof/>
            <w:webHidden/>
            <w:szCs w:val="24"/>
          </w:rPr>
          <w:t>60</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64" w:history="1">
        <w:r w:rsidRPr="004A3204">
          <w:rPr>
            <w:rStyle w:val="Hyperlink"/>
            <w:noProof/>
            <w:sz w:val="24"/>
            <w:szCs w:val="24"/>
          </w:rPr>
          <w:t>4.2.7.</w:t>
        </w:r>
        <w:r w:rsidRPr="004A3204">
          <w:rPr>
            <w:noProof/>
            <w:szCs w:val="24"/>
          </w:rPr>
          <w:tab/>
        </w:r>
        <w:r w:rsidRPr="004A3204">
          <w:rPr>
            <w:rStyle w:val="Hyperlink"/>
            <w:rFonts w:hint="eastAsia"/>
            <w:noProof/>
            <w:sz w:val="24"/>
            <w:szCs w:val="24"/>
          </w:rPr>
          <w:t>能源管理体制不健全</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_Toc392853164 \h </w:instrText>
        </w:r>
        <w:r w:rsidRPr="004A3204">
          <w:rPr>
            <w:noProof/>
            <w:szCs w:val="24"/>
          </w:rPr>
        </w:r>
        <w:r w:rsidRPr="004A3204">
          <w:rPr>
            <w:noProof/>
            <w:webHidden/>
            <w:szCs w:val="24"/>
          </w:rPr>
          <w:fldChar w:fldCharType="separate"/>
        </w:r>
        <w:r w:rsidR="00F513CF">
          <w:rPr>
            <w:noProof/>
            <w:webHidden/>
            <w:szCs w:val="24"/>
          </w:rPr>
          <w:t>60</w:t>
        </w:r>
        <w:r w:rsidRPr="004A3204">
          <w:rPr>
            <w:noProof/>
            <w:webHidden/>
            <w:szCs w:val="24"/>
          </w:rPr>
          <w:fldChar w:fldCharType="end"/>
        </w:r>
      </w:hyperlink>
    </w:p>
    <w:p w:rsidR="00CA619C" w:rsidRPr="004A3204" w:rsidRDefault="00CA619C" w:rsidP="00CA619C">
      <w:pPr>
        <w:pStyle w:val="TOC1"/>
        <w:tabs>
          <w:tab w:val="left" w:pos="1260"/>
          <w:tab w:val="right" w:leader="dot" w:pos="8948"/>
        </w:tabs>
        <w:spacing w:line="426" w:lineRule="exact"/>
        <w:ind w:firstLine="480"/>
        <w:rPr>
          <w:noProof/>
          <w:szCs w:val="24"/>
        </w:rPr>
      </w:pPr>
      <w:hyperlink w:anchor="_Toc392853165" w:history="1">
        <w:r w:rsidRPr="004A3204">
          <w:rPr>
            <w:rStyle w:val="Hyperlink"/>
            <w:noProof/>
            <w:sz w:val="24"/>
            <w:szCs w:val="24"/>
          </w:rPr>
          <w:t>5.</w:t>
        </w:r>
        <w:r w:rsidRPr="004A3204">
          <w:rPr>
            <w:noProof/>
            <w:szCs w:val="24"/>
          </w:rPr>
          <w:tab/>
        </w:r>
        <w:r w:rsidRPr="004A3204">
          <w:rPr>
            <w:rStyle w:val="Hyperlink"/>
            <w:rFonts w:hint="eastAsia"/>
            <w:noProof/>
            <w:sz w:val="24"/>
            <w:szCs w:val="24"/>
          </w:rPr>
          <w:t>构建我国新兴能源产业技术创新支撑体系的设想与建议</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_Toc392853165 \h </w:instrText>
        </w:r>
        <w:r w:rsidRPr="004A3204">
          <w:rPr>
            <w:noProof/>
            <w:szCs w:val="24"/>
          </w:rPr>
        </w:r>
        <w:r w:rsidRPr="004A3204">
          <w:rPr>
            <w:noProof/>
            <w:webHidden/>
            <w:szCs w:val="24"/>
          </w:rPr>
          <w:fldChar w:fldCharType="separate"/>
        </w:r>
        <w:r w:rsidR="00F513CF">
          <w:rPr>
            <w:noProof/>
            <w:webHidden/>
            <w:szCs w:val="24"/>
          </w:rPr>
          <w:t>62</w:t>
        </w:r>
        <w:r w:rsidRPr="004A3204">
          <w:rPr>
            <w:noProof/>
            <w:webHidden/>
            <w:szCs w:val="24"/>
          </w:rPr>
          <w:fldChar w:fldCharType="end"/>
        </w:r>
      </w:hyperlink>
    </w:p>
    <w:p w:rsidR="00CA619C" w:rsidRPr="004A3204" w:rsidRDefault="00CA619C" w:rsidP="00CA619C">
      <w:pPr>
        <w:pStyle w:val="TOC2"/>
        <w:tabs>
          <w:tab w:val="left" w:pos="1680"/>
          <w:tab w:val="right" w:leader="dot" w:pos="8948"/>
        </w:tabs>
        <w:spacing w:line="426" w:lineRule="exact"/>
        <w:ind w:firstLine="480"/>
        <w:rPr>
          <w:noProof/>
          <w:szCs w:val="24"/>
        </w:rPr>
      </w:pPr>
      <w:hyperlink w:anchor="_Toc392853166" w:history="1">
        <w:r w:rsidRPr="004A3204">
          <w:rPr>
            <w:rStyle w:val="Hyperlink"/>
            <w:noProof/>
            <w:sz w:val="24"/>
            <w:szCs w:val="24"/>
          </w:rPr>
          <w:t>5.1.</w:t>
        </w:r>
        <w:r w:rsidRPr="004A3204">
          <w:rPr>
            <w:noProof/>
            <w:szCs w:val="24"/>
          </w:rPr>
          <w:tab/>
        </w:r>
        <w:r w:rsidRPr="004A3204">
          <w:rPr>
            <w:rStyle w:val="Hyperlink"/>
            <w:rFonts w:hint="eastAsia"/>
            <w:noProof/>
            <w:sz w:val="24"/>
            <w:szCs w:val="24"/>
          </w:rPr>
          <w:t>确立我国新兴能源技术目标定位</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_Toc392853166 \h </w:instrText>
        </w:r>
        <w:r w:rsidRPr="004A3204">
          <w:rPr>
            <w:noProof/>
            <w:szCs w:val="24"/>
          </w:rPr>
        </w:r>
        <w:r w:rsidRPr="004A3204">
          <w:rPr>
            <w:noProof/>
            <w:webHidden/>
            <w:szCs w:val="24"/>
          </w:rPr>
          <w:fldChar w:fldCharType="separate"/>
        </w:r>
        <w:r w:rsidR="00F513CF">
          <w:rPr>
            <w:noProof/>
            <w:webHidden/>
            <w:szCs w:val="24"/>
          </w:rPr>
          <w:t>62</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67" w:history="1">
        <w:r w:rsidRPr="004A3204">
          <w:rPr>
            <w:rStyle w:val="Hyperlink"/>
            <w:noProof/>
            <w:sz w:val="24"/>
            <w:szCs w:val="24"/>
          </w:rPr>
          <w:t>5.1.1.</w:t>
        </w:r>
        <w:r w:rsidRPr="004A3204">
          <w:rPr>
            <w:noProof/>
            <w:szCs w:val="24"/>
          </w:rPr>
          <w:tab/>
        </w:r>
        <w:r w:rsidRPr="004A3204">
          <w:rPr>
            <w:rStyle w:val="Hyperlink"/>
            <w:rFonts w:hint="eastAsia"/>
            <w:noProof/>
            <w:sz w:val="24"/>
            <w:szCs w:val="24"/>
          </w:rPr>
          <w:t>要确立国际领先的新兴能源产业目标定位</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_Toc392853167 \h </w:instrText>
        </w:r>
        <w:r w:rsidRPr="004A3204">
          <w:rPr>
            <w:noProof/>
            <w:szCs w:val="24"/>
          </w:rPr>
        </w:r>
        <w:r w:rsidRPr="004A3204">
          <w:rPr>
            <w:noProof/>
            <w:webHidden/>
            <w:szCs w:val="24"/>
          </w:rPr>
          <w:fldChar w:fldCharType="separate"/>
        </w:r>
        <w:r w:rsidR="00F513CF">
          <w:rPr>
            <w:noProof/>
            <w:webHidden/>
            <w:szCs w:val="24"/>
          </w:rPr>
          <w:t>62</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68" w:history="1">
        <w:r w:rsidRPr="004A3204">
          <w:rPr>
            <w:rStyle w:val="Hyperlink"/>
            <w:noProof/>
            <w:sz w:val="24"/>
            <w:szCs w:val="24"/>
          </w:rPr>
          <w:t>5.1.2.</w:t>
        </w:r>
        <w:r w:rsidRPr="004A3204">
          <w:rPr>
            <w:noProof/>
            <w:szCs w:val="24"/>
          </w:rPr>
          <w:tab/>
        </w:r>
        <w:r w:rsidRPr="004A3204">
          <w:rPr>
            <w:rStyle w:val="Hyperlink"/>
            <w:rFonts w:hint="eastAsia"/>
            <w:noProof/>
            <w:sz w:val="24"/>
            <w:szCs w:val="24"/>
          </w:rPr>
          <w:t>我国在新兴能源领域具有成为全球领先地位的条件</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_Toc392853168 \h </w:instrText>
        </w:r>
        <w:r w:rsidRPr="004A3204">
          <w:rPr>
            <w:noProof/>
            <w:szCs w:val="24"/>
          </w:rPr>
        </w:r>
        <w:r w:rsidRPr="004A3204">
          <w:rPr>
            <w:noProof/>
            <w:webHidden/>
            <w:szCs w:val="24"/>
          </w:rPr>
          <w:fldChar w:fldCharType="separate"/>
        </w:r>
        <w:r w:rsidR="00F513CF">
          <w:rPr>
            <w:noProof/>
            <w:webHidden/>
            <w:szCs w:val="24"/>
          </w:rPr>
          <w:t>63</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69" w:history="1">
        <w:r w:rsidRPr="004A3204">
          <w:rPr>
            <w:rStyle w:val="Hyperlink"/>
            <w:noProof/>
            <w:sz w:val="24"/>
            <w:szCs w:val="24"/>
          </w:rPr>
          <w:t>5.1.3.</w:t>
        </w:r>
        <w:r w:rsidRPr="004A3204">
          <w:rPr>
            <w:noProof/>
            <w:szCs w:val="24"/>
          </w:rPr>
          <w:tab/>
        </w:r>
        <w:r w:rsidRPr="004A3204">
          <w:rPr>
            <w:rStyle w:val="Hyperlink"/>
            <w:rFonts w:hint="eastAsia"/>
            <w:noProof/>
            <w:sz w:val="24"/>
            <w:szCs w:val="24"/>
          </w:rPr>
          <w:t>构建我国新兴能源产业技术创新支撑体系的基本框架</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_Toc392853169 \h </w:instrText>
        </w:r>
        <w:r w:rsidRPr="004A3204">
          <w:rPr>
            <w:noProof/>
            <w:szCs w:val="24"/>
          </w:rPr>
        </w:r>
        <w:r w:rsidRPr="004A3204">
          <w:rPr>
            <w:noProof/>
            <w:webHidden/>
            <w:szCs w:val="24"/>
          </w:rPr>
          <w:fldChar w:fldCharType="separate"/>
        </w:r>
        <w:r w:rsidR="00F513CF">
          <w:rPr>
            <w:noProof/>
            <w:webHidden/>
            <w:szCs w:val="24"/>
          </w:rPr>
          <w:t>63</w:t>
        </w:r>
        <w:r w:rsidRPr="004A3204">
          <w:rPr>
            <w:noProof/>
            <w:webHidden/>
            <w:szCs w:val="24"/>
          </w:rPr>
          <w:fldChar w:fldCharType="end"/>
        </w:r>
      </w:hyperlink>
    </w:p>
    <w:p w:rsidR="00CA619C" w:rsidRPr="004A3204" w:rsidRDefault="00CA619C" w:rsidP="00CA619C">
      <w:pPr>
        <w:pStyle w:val="TOC2"/>
        <w:tabs>
          <w:tab w:val="left" w:pos="1680"/>
          <w:tab w:val="right" w:leader="dot" w:pos="8948"/>
        </w:tabs>
        <w:spacing w:line="426" w:lineRule="exact"/>
        <w:ind w:firstLine="480"/>
        <w:rPr>
          <w:noProof/>
          <w:szCs w:val="24"/>
        </w:rPr>
      </w:pPr>
      <w:hyperlink w:anchor="_Toc392853170" w:history="1">
        <w:r w:rsidRPr="004A3204">
          <w:rPr>
            <w:rStyle w:val="Hyperlink"/>
            <w:noProof/>
            <w:sz w:val="24"/>
            <w:szCs w:val="24"/>
          </w:rPr>
          <w:t>5.2.</w:t>
        </w:r>
        <w:r w:rsidRPr="004A3204">
          <w:rPr>
            <w:noProof/>
            <w:szCs w:val="24"/>
          </w:rPr>
          <w:tab/>
        </w:r>
        <w:r w:rsidRPr="004A3204">
          <w:rPr>
            <w:rStyle w:val="Hyperlink"/>
            <w:rFonts w:hint="eastAsia"/>
            <w:noProof/>
            <w:sz w:val="24"/>
            <w:szCs w:val="24"/>
          </w:rPr>
          <w:t>建立完整的供给体系</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_Toc392853170 \h </w:instrText>
        </w:r>
        <w:r w:rsidRPr="004A3204">
          <w:rPr>
            <w:noProof/>
            <w:szCs w:val="24"/>
          </w:rPr>
        </w:r>
        <w:r w:rsidRPr="004A3204">
          <w:rPr>
            <w:noProof/>
            <w:webHidden/>
            <w:szCs w:val="24"/>
          </w:rPr>
          <w:fldChar w:fldCharType="separate"/>
        </w:r>
        <w:r w:rsidR="00F513CF">
          <w:rPr>
            <w:noProof/>
            <w:webHidden/>
            <w:szCs w:val="24"/>
          </w:rPr>
          <w:t>64</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71" w:history="1">
        <w:r w:rsidRPr="004A3204">
          <w:rPr>
            <w:rStyle w:val="Hyperlink"/>
            <w:noProof/>
            <w:sz w:val="24"/>
            <w:szCs w:val="24"/>
          </w:rPr>
          <w:t>5.2.1.</w:t>
        </w:r>
        <w:r w:rsidRPr="004A3204">
          <w:rPr>
            <w:noProof/>
            <w:szCs w:val="24"/>
          </w:rPr>
          <w:tab/>
        </w:r>
        <w:r w:rsidRPr="004A3204">
          <w:rPr>
            <w:rStyle w:val="Hyperlink"/>
            <w:rFonts w:hint="eastAsia"/>
            <w:noProof/>
            <w:sz w:val="24"/>
            <w:szCs w:val="24"/>
          </w:rPr>
          <w:t>建立公共研发机构</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_Toc392853171 \h </w:instrText>
        </w:r>
        <w:r w:rsidRPr="004A3204">
          <w:rPr>
            <w:noProof/>
            <w:szCs w:val="24"/>
          </w:rPr>
        </w:r>
        <w:r w:rsidRPr="004A3204">
          <w:rPr>
            <w:noProof/>
            <w:webHidden/>
            <w:szCs w:val="24"/>
          </w:rPr>
          <w:fldChar w:fldCharType="separate"/>
        </w:r>
        <w:r w:rsidR="00F513CF">
          <w:rPr>
            <w:noProof/>
            <w:webHidden/>
            <w:szCs w:val="24"/>
          </w:rPr>
          <w:t>65</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72" w:history="1">
        <w:r w:rsidRPr="004A3204">
          <w:rPr>
            <w:rStyle w:val="Hyperlink"/>
            <w:noProof/>
            <w:sz w:val="24"/>
            <w:szCs w:val="24"/>
          </w:rPr>
          <w:t>5.2.2.</w:t>
        </w:r>
        <w:r w:rsidRPr="004A3204">
          <w:rPr>
            <w:noProof/>
            <w:szCs w:val="24"/>
          </w:rPr>
          <w:tab/>
        </w:r>
        <w:r w:rsidRPr="004A3204">
          <w:rPr>
            <w:rStyle w:val="Hyperlink"/>
            <w:rFonts w:hint="eastAsia"/>
            <w:noProof/>
            <w:sz w:val="24"/>
            <w:szCs w:val="24"/>
          </w:rPr>
          <w:t>给中小企业技术创新创造条件</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_Toc392853172 \h </w:instrText>
        </w:r>
        <w:r w:rsidRPr="004A3204">
          <w:rPr>
            <w:noProof/>
            <w:szCs w:val="24"/>
          </w:rPr>
        </w:r>
        <w:r w:rsidRPr="004A3204">
          <w:rPr>
            <w:noProof/>
            <w:webHidden/>
            <w:szCs w:val="24"/>
          </w:rPr>
          <w:fldChar w:fldCharType="separate"/>
        </w:r>
        <w:r w:rsidR="00F513CF">
          <w:rPr>
            <w:noProof/>
            <w:webHidden/>
            <w:szCs w:val="24"/>
          </w:rPr>
          <w:t>65</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73" w:history="1">
        <w:r w:rsidRPr="004A3204">
          <w:rPr>
            <w:rStyle w:val="Hyperlink"/>
            <w:noProof/>
            <w:sz w:val="24"/>
            <w:szCs w:val="24"/>
          </w:rPr>
          <w:t>5.2.3.</w:t>
        </w:r>
        <w:r w:rsidRPr="004A3204">
          <w:rPr>
            <w:noProof/>
            <w:szCs w:val="24"/>
          </w:rPr>
          <w:tab/>
        </w:r>
        <w:r w:rsidRPr="004A3204">
          <w:rPr>
            <w:rStyle w:val="Hyperlink"/>
            <w:rFonts w:hint="eastAsia"/>
            <w:noProof/>
            <w:sz w:val="24"/>
            <w:szCs w:val="24"/>
          </w:rPr>
          <w:t>提升国有企业的创新动力</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_Toc392853173 \h </w:instrText>
        </w:r>
        <w:r w:rsidRPr="004A3204">
          <w:rPr>
            <w:noProof/>
            <w:szCs w:val="24"/>
          </w:rPr>
        </w:r>
        <w:r w:rsidRPr="004A3204">
          <w:rPr>
            <w:noProof/>
            <w:webHidden/>
            <w:szCs w:val="24"/>
          </w:rPr>
          <w:fldChar w:fldCharType="separate"/>
        </w:r>
        <w:r w:rsidR="00F513CF">
          <w:rPr>
            <w:noProof/>
            <w:webHidden/>
            <w:szCs w:val="24"/>
          </w:rPr>
          <w:t>66</w:t>
        </w:r>
        <w:r w:rsidRPr="004A3204">
          <w:rPr>
            <w:noProof/>
            <w:webHidden/>
            <w:szCs w:val="24"/>
          </w:rPr>
          <w:fldChar w:fldCharType="end"/>
        </w:r>
      </w:hyperlink>
    </w:p>
    <w:p w:rsidR="00CA619C" w:rsidRPr="004A3204" w:rsidRDefault="00CA619C" w:rsidP="00CA619C">
      <w:pPr>
        <w:pStyle w:val="TOC2"/>
        <w:tabs>
          <w:tab w:val="left" w:pos="1680"/>
          <w:tab w:val="right" w:leader="dot" w:pos="8948"/>
        </w:tabs>
        <w:spacing w:line="426" w:lineRule="exact"/>
        <w:ind w:firstLine="480"/>
        <w:rPr>
          <w:noProof/>
          <w:szCs w:val="24"/>
        </w:rPr>
      </w:pPr>
      <w:hyperlink w:anchor="_Toc392853174" w:history="1">
        <w:r w:rsidRPr="004A3204">
          <w:rPr>
            <w:rStyle w:val="Hyperlink"/>
            <w:noProof/>
            <w:sz w:val="24"/>
            <w:szCs w:val="24"/>
          </w:rPr>
          <w:t>5.3.</w:t>
        </w:r>
        <w:r w:rsidRPr="004A3204">
          <w:rPr>
            <w:noProof/>
            <w:szCs w:val="24"/>
          </w:rPr>
          <w:tab/>
        </w:r>
        <w:r w:rsidRPr="004A3204">
          <w:rPr>
            <w:rStyle w:val="Hyperlink"/>
            <w:rFonts w:hint="eastAsia"/>
            <w:noProof/>
            <w:sz w:val="24"/>
            <w:szCs w:val="24"/>
          </w:rPr>
          <w:t>构建合理的产业化路径</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_Toc392853174 \h </w:instrText>
        </w:r>
        <w:r w:rsidRPr="004A3204">
          <w:rPr>
            <w:noProof/>
            <w:szCs w:val="24"/>
          </w:rPr>
        </w:r>
        <w:r w:rsidRPr="004A3204">
          <w:rPr>
            <w:noProof/>
            <w:webHidden/>
            <w:szCs w:val="24"/>
          </w:rPr>
          <w:fldChar w:fldCharType="separate"/>
        </w:r>
        <w:r w:rsidR="00F513CF">
          <w:rPr>
            <w:noProof/>
            <w:webHidden/>
            <w:szCs w:val="24"/>
          </w:rPr>
          <w:t>66</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75" w:history="1">
        <w:r w:rsidRPr="004A3204">
          <w:rPr>
            <w:rStyle w:val="Hyperlink"/>
            <w:noProof/>
            <w:sz w:val="24"/>
            <w:szCs w:val="24"/>
          </w:rPr>
          <w:t>5.3.1.</w:t>
        </w:r>
        <w:r w:rsidRPr="004A3204">
          <w:rPr>
            <w:noProof/>
            <w:szCs w:val="24"/>
          </w:rPr>
          <w:tab/>
        </w:r>
        <w:r w:rsidRPr="004A3204">
          <w:rPr>
            <w:rStyle w:val="Hyperlink"/>
            <w:rFonts w:hint="eastAsia"/>
            <w:noProof/>
            <w:sz w:val="24"/>
            <w:szCs w:val="24"/>
          </w:rPr>
          <w:t>走一条基于核心技术突破的发展路径</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_Toc392853175 \h </w:instrText>
        </w:r>
        <w:r w:rsidRPr="004A3204">
          <w:rPr>
            <w:noProof/>
            <w:szCs w:val="24"/>
          </w:rPr>
        </w:r>
        <w:r w:rsidRPr="004A3204">
          <w:rPr>
            <w:noProof/>
            <w:webHidden/>
            <w:szCs w:val="24"/>
          </w:rPr>
          <w:fldChar w:fldCharType="separate"/>
        </w:r>
        <w:r w:rsidR="00F513CF">
          <w:rPr>
            <w:noProof/>
            <w:webHidden/>
            <w:szCs w:val="24"/>
          </w:rPr>
          <w:t>67</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76" w:history="1">
        <w:r w:rsidRPr="004A3204">
          <w:rPr>
            <w:rStyle w:val="Hyperlink"/>
            <w:noProof/>
            <w:sz w:val="24"/>
            <w:szCs w:val="24"/>
          </w:rPr>
          <w:t>5.3.2.</w:t>
        </w:r>
        <w:r w:rsidRPr="004A3204">
          <w:rPr>
            <w:noProof/>
            <w:szCs w:val="24"/>
          </w:rPr>
          <w:tab/>
        </w:r>
        <w:r w:rsidRPr="004A3204">
          <w:rPr>
            <w:rStyle w:val="Hyperlink"/>
            <w:rFonts w:hint="eastAsia"/>
            <w:noProof/>
            <w:sz w:val="24"/>
            <w:szCs w:val="24"/>
          </w:rPr>
          <w:t>打通产学研资之间的贯通</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_Toc392853176 \h </w:instrText>
        </w:r>
        <w:r w:rsidRPr="004A3204">
          <w:rPr>
            <w:noProof/>
            <w:szCs w:val="24"/>
          </w:rPr>
        </w:r>
        <w:r w:rsidRPr="004A3204">
          <w:rPr>
            <w:noProof/>
            <w:webHidden/>
            <w:szCs w:val="24"/>
          </w:rPr>
          <w:fldChar w:fldCharType="separate"/>
        </w:r>
        <w:r w:rsidR="00F513CF">
          <w:rPr>
            <w:noProof/>
            <w:webHidden/>
            <w:szCs w:val="24"/>
          </w:rPr>
          <w:t>67</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77" w:history="1">
        <w:r w:rsidRPr="004A3204">
          <w:rPr>
            <w:rStyle w:val="Hyperlink"/>
            <w:noProof/>
            <w:sz w:val="24"/>
            <w:szCs w:val="24"/>
          </w:rPr>
          <w:t>5.3.3.</w:t>
        </w:r>
        <w:r w:rsidRPr="004A3204">
          <w:rPr>
            <w:noProof/>
            <w:szCs w:val="24"/>
          </w:rPr>
          <w:tab/>
        </w:r>
        <w:r w:rsidRPr="004A3204">
          <w:rPr>
            <w:rStyle w:val="Hyperlink"/>
            <w:rFonts w:hint="eastAsia"/>
            <w:noProof/>
            <w:sz w:val="24"/>
            <w:szCs w:val="24"/>
          </w:rPr>
          <w:t>产业化与需求侧的发展相协调</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_Toc392853177 \h </w:instrText>
        </w:r>
        <w:r w:rsidRPr="004A3204">
          <w:rPr>
            <w:noProof/>
            <w:szCs w:val="24"/>
          </w:rPr>
        </w:r>
        <w:r w:rsidRPr="004A3204">
          <w:rPr>
            <w:noProof/>
            <w:webHidden/>
            <w:szCs w:val="24"/>
          </w:rPr>
          <w:fldChar w:fldCharType="separate"/>
        </w:r>
        <w:r w:rsidR="00F513CF">
          <w:rPr>
            <w:noProof/>
            <w:webHidden/>
            <w:szCs w:val="24"/>
          </w:rPr>
          <w:t>68</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78" w:history="1">
        <w:r w:rsidRPr="004A3204">
          <w:rPr>
            <w:rStyle w:val="Hyperlink"/>
            <w:noProof/>
            <w:sz w:val="24"/>
            <w:szCs w:val="24"/>
          </w:rPr>
          <w:t>5.3.4.</w:t>
        </w:r>
        <w:r w:rsidRPr="004A3204">
          <w:rPr>
            <w:noProof/>
            <w:szCs w:val="24"/>
          </w:rPr>
          <w:tab/>
        </w:r>
        <w:r w:rsidRPr="004A3204">
          <w:rPr>
            <w:rStyle w:val="Hyperlink"/>
            <w:rFonts w:hint="eastAsia"/>
            <w:noProof/>
            <w:sz w:val="24"/>
            <w:szCs w:val="24"/>
          </w:rPr>
          <w:t>依靠市场的选择机制</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_Toc392853178 \h </w:instrText>
        </w:r>
        <w:r w:rsidRPr="004A3204">
          <w:rPr>
            <w:noProof/>
            <w:szCs w:val="24"/>
          </w:rPr>
        </w:r>
        <w:r w:rsidRPr="004A3204">
          <w:rPr>
            <w:noProof/>
            <w:webHidden/>
            <w:szCs w:val="24"/>
          </w:rPr>
          <w:fldChar w:fldCharType="separate"/>
        </w:r>
        <w:r w:rsidR="00F513CF">
          <w:rPr>
            <w:noProof/>
            <w:webHidden/>
            <w:szCs w:val="24"/>
          </w:rPr>
          <w:t>68</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79" w:history="1">
        <w:r w:rsidRPr="004A3204">
          <w:rPr>
            <w:rStyle w:val="Hyperlink"/>
            <w:noProof/>
            <w:sz w:val="24"/>
            <w:szCs w:val="24"/>
          </w:rPr>
          <w:t>5.3.5.</w:t>
        </w:r>
        <w:r w:rsidRPr="004A3204">
          <w:rPr>
            <w:noProof/>
            <w:szCs w:val="24"/>
          </w:rPr>
          <w:tab/>
        </w:r>
        <w:r w:rsidRPr="004A3204">
          <w:rPr>
            <w:rStyle w:val="Hyperlink"/>
            <w:rFonts w:hint="eastAsia"/>
            <w:noProof/>
            <w:sz w:val="24"/>
            <w:szCs w:val="24"/>
          </w:rPr>
          <w:t>新兴能源产业化与商业模式创新互动协调</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_Toc392853179 \h </w:instrText>
        </w:r>
        <w:r w:rsidRPr="004A3204">
          <w:rPr>
            <w:noProof/>
            <w:szCs w:val="24"/>
          </w:rPr>
        </w:r>
        <w:r w:rsidRPr="004A3204">
          <w:rPr>
            <w:noProof/>
            <w:webHidden/>
            <w:szCs w:val="24"/>
          </w:rPr>
          <w:fldChar w:fldCharType="separate"/>
        </w:r>
        <w:r w:rsidR="00F513CF">
          <w:rPr>
            <w:noProof/>
            <w:webHidden/>
            <w:szCs w:val="24"/>
          </w:rPr>
          <w:t>69</w:t>
        </w:r>
        <w:r w:rsidRPr="004A3204">
          <w:rPr>
            <w:noProof/>
            <w:webHidden/>
            <w:szCs w:val="24"/>
          </w:rPr>
          <w:fldChar w:fldCharType="end"/>
        </w:r>
      </w:hyperlink>
    </w:p>
    <w:p w:rsidR="00CA619C" w:rsidRPr="004A3204" w:rsidRDefault="00CA619C" w:rsidP="00CA619C">
      <w:pPr>
        <w:pStyle w:val="TOC2"/>
        <w:tabs>
          <w:tab w:val="left" w:pos="1680"/>
          <w:tab w:val="right" w:leader="dot" w:pos="8948"/>
        </w:tabs>
        <w:spacing w:line="426" w:lineRule="exact"/>
        <w:ind w:firstLine="480"/>
        <w:rPr>
          <w:noProof/>
          <w:szCs w:val="24"/>
        </w:rPr>
      </w:pPr>
      <w:hyperlink w:anchor="_Toc392853180" w:history="1">
        <w:r w:rsidRPr="004A3204">
          <w:rPr>
            <w:rStyle w:val="Hyperlink"/>
            <w:noProof/>
            <w:sz w:val="24"/>
            <w:szCs w:val="24"/>
          </w:rPr>
          <w:t>5.4.</w:t>
        </w:r>
        <w:r w:rsidRPr="004A3204">
          <w:rPr>
            <w:noProof/>
            <w:szCs w:val="24"/>
          </w:rPr>
          <w:tab/>
        </w:r>
        <w:r w:rsidRPr="004A3204">
          <w:rPr>
            <w:rStyle w:val="Hyperlink"/>
            <w:rFonts w:hint="eastAsia"/>
            <w:noProof/>
            <w:sz w:val="24"/>
            <w:szCs w:val="24"/>
          </w:rPr>
          <w:t>提供全面的技术创新服务</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_Toc392853180 \h </w:instrText>
        </w:r>
        <w:r w:rsidRPr="004A3204">
          <w:rPr>
            <w:noProof/>
            <w:szCs w:val="24"/>
          </w:rPr>
        </w:r>
        <w:r w:rsidRPr="004A3204">
          <w:rPr>
            <w:noProof/>
            <w:webHidden/>
            <w:szCs w:val="24"/>
          </w:rPr>
          <w:fldChar w:fldCharType="separate"/>
        </w:r>
        <w:r w:rsidR="00F513CF">
          <w:rPr>
            <w:noProof/>
            <w:webHidden/>
            <w:szCs w:val="24"/>
          </w:rPr>
          <w:t>70</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81" w:history="1">
        <w:r w:rsidRPr="004A3204">
          <w:rPr>
            <w:rStyle w:val="Hyperlink"/>
            <w:noProof/>
            <w:sz w:val="24"/>
            <w:szCs w:val="24"/>
          </w:rPr>
          <w:t>5.4.1.</w:t>
        </w:r>
        <w:r w:rsidRPr="004A3204">
          <w:rPr>
            <w:noProof/>
            <w:szCs w:val="24"/>
          </w:rPr>
          <w:tab/>
        </w:r>
        <w:r w:rsidRPr="004A3204">
          <w:rPr>
            <w:rStyle w:val="Hyperlink"/>
            <w:rFonts w:hint="eastAsia"/>
            <w:noProof/>
            <w:sz w:val="24"/>
            <w:szCs w:val="24"/>
          </w:rPr>
          <w:t>提供顺畅的融资支持</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_Toc392853181 \h </w:instrText>
        </w:r>
        <w:r w:rsidRPr="004A3204">
          <w:rPr>
            <w:noProof/>
            <w:szCs w:val="24"/>
          </w:rPr>
        </w:r>
        <w:r w:rsidRPr="004A3204">
          <w:rPr>
            <w:noProof/>
            <w:webHidden/>
            <w:szCs w:val="24"/>
          </w:rPr>
          <w:fldChar w:fldCharType="separate"/>
        </w:r>
        <w:r w:rsidR="00F513CF">
          <w:rPr>
            <w:noProof/>
            <w:webHidden/>
            <w:szCs w:val="24"/>
          </w:rPr>
          <w:t>70</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82" w:history="1">
        <w:r w:rsidRPr="004A3204">
          <w:rPr>
            <w:rStyle w:val="Hyperlink"/>
            <w:noProof/>
            <w:sz w:val="24"/>
            <w:szCs w:val="24"/>
          </w:rPr>
          <w:t>5.4.2.</w:t>
        </w:r>
        <w:r w:rsidRPr="004A3204">
          <w:rPr>
            <w:noProof/>
            <w:szCs w:val="24"/>
          </w:rPr>
          <w:tab/>
        </w:r>
        <w:r w:rsidRPr="004A3204">
          <w:rPr>
            <w:rStyle w:val="Hyperlink"/>
            <w:rFonts w:hint="eastAsia"/>
            <w:noProof/>
            <w:sz w:val="24"/>
            <w:szCs w:val="24"/>
          </w:rPr>
          <w:t>建立新兴能源标准，完善机制</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_Toc392853182 \h </w:instrText>
        </w:r>
        <w:r w:rsidRPr="004A3204">
          <w:rPr>
            <w:noProof/>
            <w:szCs w:val="24"/>
          </w:rPr>
        </w:r>
        <w:r w:rsidRPr="004A3204">
          <w:rPr>
            <w:noProof/>
            <w:webHidden/>
            <w:szCs w:val="24"/>
          </w:rPr>
          <w:fldChar w:fldCharType="separate"/>
        </w:r>
        <w:r w:rsidR="00F513CF">
          <w:rPr>
            <w:noProof/>
            <w:webHidden/>
            <w:szCs w:val="24"/>
          </w:rPr>
          <w:t>70</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83" w:history="1">
        <w:r w:rsidRPr="004A3204">
          <w:rPr>
            <w:rStyle w:val="Hyperlink"/>
            <w:noProof/>
            <w:sz w:val="24"/>
            <w:szCs w:val="24"/>
          </w:rPr>
          <w:t>5.4.3.</w:t>
        </w:r>
        <w:r w:rsidRPr="004A3204">
          <w:rPr>
            <w:noProof/>
            <w:szCs w:val="24"/>
          </w:rPr>
          <w:tab/>
        </w:r>
        <w:r w:rsidRPr="004A3204">
          <w:rPr>
            <w:rStyle w:val="Hyperlink"/>
            <w:rFonts w:hint="eastAsia"/>
            <w:noProof/>
            <w:sz w:val="24"/>
            <w:szCs w:val="24"/>
          </w:rPr>
          <w:t>建立技术信息、资产交流交易的服务平台</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_Toc392853183 \h </w:instrText>
        </w:r>
        <w:r w:rsidRPr="004A3204">
          <w:rPr>
            <w:noProof/>
            <w:szCs w:val="24"/>
          </w:rPr>
        </w:r>
        <w:r w:rsidRPr="004A3204">
          <w:rPr>
            <w:noProof/>
            <w:webHidden/>
            <w:szCs w:val="24"/>
          </w:rPr>
          <w:fldChar w:fldCharType="separate"/>
        </w:r>
        <w:r w:rsidR="00F513CF">
          <w:rPr>
            <w:noProof/>
            <w:webHidden/>
            <w:szCs w:val="24"/>
          </w:rPr>
          <w:t>71</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84" w:history="1">
        <w:r w:rsidRPr="004A3204">
          <w:rPr>
            <w:rStyle w:val="Hyperlink"/>
            <w:noProof/>
            <w:sz w:val="24"/>
            <w:szCs w:val="24"/>
          </w:rPr>
          <w:t>5.4.4.</w:t>
        </w:r>
        <w:r w:rsidRPr="004A3204">
          <w:rPr>
            <w:noProof/>
            <w:szCs w:val="24"/>
          </w:rPr>
          <w:tab/>
        </w:r>
        <w:r w:rsidRPr="004A3204">
          <w:rPr>
            <w:rStyle w:val="Hyperlink"/>
            <w:rFonts w:hint="eastAsia"/>
            <w:noProof/>
            <w:sz w:val="24"/>
            <w:szCs w:val="24"/>
          </w:rPr>
          <w:t>加大人才培养</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_Toc392853184 \h </w:instrText>
        </w:r>
        <w:r w:rsidRPr="004A3204">
          <w:rPr>
            <w:noProof/>
            <w:szCs w:val="24"/>
          </w:rPr>
        </w:r>
        <w:r w:rsidRPr="004A3204">
          <w:rPr>
            <w:noProof/>
            <w:webHidden/>
            <w:szCs w:val="24"/>
          </w:rPr>
          <w:fldChar w:fldCharType="separate"/>
        </w:r>
        <w:r w:rsidR="00F513CF">
          <w:rPr>
            <w:noProof/>
            <w:webHidden/>
            <w:szCs w:val="24"/>
          </w:rPr>
          <w:t>72</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85" w:history="1">
        <w:r w:rsidRPr="004A3204">
          <w:rPr>
            <w:rStyle w:val="Hyperlink"/>
            <w:noProof/>
            <w:sz w:val="24"/>
            <w:szCs w:val="24"/>
          </w:rPr>
          <w:t>5.4.5.</w:t>
        </w:r>
        <w:r w:rsidRPr="004A3204">
          <w:rPr>
            <w:noProof/>
            <w:szCs w:val="24"/>
          </w:rPr>
          <w:tab/>
        </w:r>
        <w:r w:rsidRPr="004A3204">
          <w:rPr>
            <w:rStyle w:val="Hyperlink"/>
            <w:rFonts w:hint="eastAsia"/>
            <w:noProof/>
            <w:sz w:val="24"/>
            <w:szCs w:val="24"/>
          </w:rPr>
          <w:t>提供技术与资产并购的服务体系</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_Toc392853185 \h </w:instrText>
        </w:r>
        <w:r w:rsidRPr="004A3204">
          <w:rPr>
            <w:noProof/>
            <w:szCs w:val="24"/>
          </w:rPr>
        </w:r>
        <w:r w:rsidRPr="004A3204">
          <w:rPr>
            <w:noProof/>
            <w:webHidden/>
            <w:szCs w:val="24"/>
          </w:rPr>
          <w:fldChar w:fldCharType="separate"/>
        </w:r>
        <w:r w:rsidR="00F513CF">
          <w:rPr>
            <w:noProof/>
            <w:webHidden/>
            <w:szCs w:val="24"/>
          </w:rPr>
          <w:t>72</w:t>
        </w:r>
        <w:r w:rsidRPr="004A3204">
          <w:rPr>
            <w:noProof/>
            <w:webHidden/>
            <w:szCs w:val="24"/>
          </w:rPr>
          <w:fldChar w:fldCharType="end"/>
        </w:r>
      </w:hyperlink>
    </w:p>
    <w:p w:rsidR="00CA619C" w:rsidRPr="004A3204" w:rsidRDefault="00CA619C" w:rsidP="00CA619C">
      <w:pPr>
        <w:pStyle w:val="TOC2"/>
        <w:tabs>
          <w:tab w:val="left" w:pos="1680"/>
          <w:tab w:val="right" w:leader="dot" w:pos="8948"/>
        </w:tabs>
        <w:spacing w:line="426" w:lineRule="exact"/>
        <w:ind w:firstLine="480"/>
        <w:rPr>
          <w:noProof/>
          <w:szCs w:val="24"/>
        </w:rPr>
      </w:pPr>
      <w:hyperlink w:anchor="_Toc392853186" w:history="1">
        <w:r w:rsidRPr="004A3204">
          <w:rPr>
            <w:rStyle w:val="Hyperlink"/>
            <w:noProof/>
            <w:sz w:val="24"/>
            <w:szCs w:val="24"/>
          </w:rPr>
          <w:t>5.5.</w:t>
        </w:r>
        <w:r w:rsidRPr="004A3204">
          <w:rPr>
            <w:noProof/>
            <w:szCs w:val="24"/>
          </w:rPr>
          <w:tab/>
        </w:r>
        <w:r w:rsidRPr="004A3204">
          <w:rPr>
            <w:rStyle w:val="Hyperlink"/>
            <w:rFonts w:hint="eastAsia"/>
            <w:noProof/>
            <w:sz w:val="24"/>
            <w:szCs w:val="24"/>
          </w:rPr>
          <w:t>完善政策支持体系</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_Toc392853186 \h </w:instrText>
        </w:r>
        <w:r w:rsidRPr="004A3204">
          <w:rPr>
            <w:noProof/>
            <w:szCs w:val="24"/>
          </w:rPr>
        </w:r>
        <w:r w:rsidRPr="004A3204">
          <w:rPr>
            <w:noProof/>
            <w:webHidden/>
            <w:szCs w:val="24"/>
          </w:rPr>
          <w:fldChar w:fldCharType="separate"/>
        </w:r>
        <w:r w:rsidR="00F513CF">
          <w:rPr>
            <w:noProof/>
            <w:webHidden/>
            <w:szCs w:val="24"/>
          </w:rPr>
          <w:t>73</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87" w:history="1">
        <w:r w:rsidRPr="004A3204">
          <w:rPr>
            <w:rStyle w:val="Hyperlink"/>
            <w:noProof/>
            <w:sz w:val="24"/>
            <w:szCs w:val="24"/>
          </w:rPr>
          <w:t>5.5.1.</w:t>
        </w:r>
        <w:r w:rsidRPr="004A3204">
          <w:rPr>
            <w:noProof/>
            <w:szCs w:val="24"/>
          </w:rPr>
          <w:tab/>
        </w:r>
        <w:r w:rsidRPr="004A3204">
          <w:rPr>
            <w:rStyle w:val="Hyperlink"/>
            <w:rFonts w:hint="eastAsia"/>
            <w:noProof/>
            <w:sz w:val="24"/>
            <w:szCs w:val="24"/>
          </w:rPr>
          <w:t>制定权威可预期的规划方案</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_Toc392853187 \h </w:instrText>
        </w:r>
        <w:r w:rsidRPr="004A3204">
          <w:rPr>
            <w:noProof/>
            <w:szCs w:val="24"/>
          </w:rPr>
        </w:r>
        <w:r w:rsidRPr="004A3204">
          <w:rPr>
            <w:noProof/>
            <w:webHidden/>
            <w:szCs w:val="24"/>
          </w:rPr>
          <w:fldChar w:fldCharType="separate"/>
        </w:r>
        <w:r w:rsidR="00F513CF">
          <w:rPr>
            <w:noProof/>
            <w:webHidden/>
            <w:szCs w:val="24"/>
          </w:rPr>
          <w:t>73</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88" w:history="1">
        <w:r w:rsidRPr="004A3204">
          <w:rPr>
            <w:rStyle w:val="Hyperlink"/>
            <w:noProof/>
            <w:sz w:val="24"/>
            <w:szCs w:val="24"/>
          </w:rPr>
          <w:t>5.5.2.</w:t>
        </w:r>
        <w:r w:rsidRPr="004A3204">
          <w:rPr>
            <w:noProof/>
            <w:szCs w:val="24"/>
          </w:rPr>
          <w:tab/>
        </w:r>
        <w:r w:rsidRPr="004A3204">
          <w:rPr>
            <w:rStyle w:val="Hyperlink"/>
            <w:rFonts w:hint="eastAsia"/>
            <w:noProof/>
            <w:sz w:val="24"/>
            <w:szCs w:val="24"/>
          </w:rPr>
          <w:t>完善财政支持政策</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_Toc392853188 \h </w:instrText>
        </w:r>
        <w:r w:rsidRPr="004A3204">
          <w:rPr>
            <w:noProof/>
            <w:szCs w:val="24"/>
          </w:rPr>
        </w:r>
        <w:r w:rsidRPr="004A3204">
          <w:rPr>
            <w:noProof/>
            <w:webHidden/>
            <w:szCs w:val="24"/>
          </w:rPr>
          <w:fldChar w:fldCharType="separate"/>
        </w:r>
        <w:r w:rsidR="00F513CF">
          <w:rPr>
            <w:noProof/>
            <w:webHidden/>
            <w:szCs w:val="24"/>
          </w:rPr>
          <w:t>74</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89" w:history="1">
        <w:r w:rsidRPr="004A3204">
          <w:rPr>
            <w:rStyle w:val="Hyperlink"/>
            <w:noProof/>
            <w:sz w:val="24"/>
            <w:szCs w:val="24"/>
          </w:rPr>
          <w:t>5.5.3.</w:t>
        </w:r>
        <w:r w:rsidRPr="004A3204">
          <w:rPr>
            <w:noProof/>
            <w:szCs w:val="24"/>
          </w:rPr>
          <w:tab/>
        </w:r>
        <w:r w:rsidRPr="004A3204">
          <w:rPr>
            <w:rStyle w:val="Hyperlink"/>
            <w:rFonts w:hint="eastAsia"/>
            <w:noProof/>
            <w:sz w:val="24"/>
            <w:szCs w:val="24"/>
          </w:rPr>
          <w:t>提供税收支持</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_Toc392853189 \h </w:instrText>
        </w:r>
        <w:r w:rsidRPr="004A3204">
          <w:rPr>
            <w:noProof/>
            <w:szCs w:val="24"/>
          </w:rPr>
        </w:r>
        <w:r w:rsidRPr="004A3204">
          <w:rPr>
            <w:noProof/>
            <w:webHidden/>
            <w:szCs w:val="24"/>
          </w:rPr>
          <w:fldChar w:fldCharType="separate"/>
        </w:r>
        <w:r w:rsidR="00F513CF">
          <w:rPr>
            <w:noProof/>
            <w:webHidden/>
            <w:szCs w:val="24"/>
          </w:rPr>
          <w:t>74</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90" w:history="1">
        <w:r w:rsidRPr="004A3204">
          <w:rPr>
            <w:rStyle w:val="Hyperlink"/>
            <w:noProof/>
            <w:sz w:val="24"/>
            <w:szCs w:val="24"/>
          </w:rPr>
          <w:t>5.5.4.</w:t>
        </w:r>
        <w:r w:rsidRPr="004A3204">
          <w:rPr>
            <w:noProof/>
            <w:szCs w:val="24"/>
          </w:rPr>
          <w:tab/>
        </w:r>
        <w:r w:rsidRPr="004A3204">
          <w:rPr>
            <w:rStyle w:val="Hyperlink"/>
            <w:rFonts w:hint="eastAsia"/>
            <w:noProof/>
            <w:sz w:val="24"/>
            <w:szCs w:val="24"/>
          </w:rPr>
          <w:t>提供示范项目支持</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_Toc392853190 \h </w:instrText>
        </w:r>
        <w:r w:rsidRPr="004A3204">
          <w:rPr>
            <w:noProof/>
            <w:szCs w:val="24"/>
          </w:rPr>
        </w:r>
        <w:r w:rsidRPr="004A3204">
          <w:rPr>
            <w:noProof/>
            <w:webHidden/>
            <w:szCs w:val="24"/>
          </w:rPr>
          <w:fldChar w:fldCharType="separate"/>
        </w:r>
        <w:r w:rsidR="00F513CF">
          <w:rPr>
            <w:noProof/>
            <w:webHidden/>
            <w:szCs w:val="24"/>
          </w:rPr>
          <w:t>75</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91" w:history="1">
        <w:r w:rsidRPr="004A3204">
          <w:rPr>
            <w:rStyle w:val="Hyperlink"/>
            <w:noProof/>
            <w:sz w:val="24"/>
            <w:szCs w:val="24"/>
          </w:rPr>
          <w:t>5.5.5.</w:t>
        </w:r>
        <w:r w:rsidRPr="004A3204">
          <w:rPr>
            <w:noProof/>
            <w:szCs w:val="24"/>
          </w:rPr>
          <w:tab/>
        </w:r>
        <w:r w:rsidRPr="004A3204">
          <w:rPr>
            <w:rStyle w:val="Hyperlink"/>
            <w:rFonts w:hint="eastAsia"/>
            <w:noProof/>
            <w:sz w:val="24"/>
            <w:szCs w:val="24"/>
          </w:rPr>
          <w:t>完善价格、环保等监管体系</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_Toc392853191 \h </w:instrText>
        </w:r>
        <w:r w:rsidRPr="004A3204">
          <w:rPr>
            <w:noProof/>
            <w:szCs w:val="24"/>
          </w:rPr>
        </w:r>
        <w:r w:rsidRPr="004A3204">
          <w:rPr>
            <w:noProof/>
            <w:webHidden/>
            <w:szCs w:val="24"/>
          </w:rPr>
          <w:fldChar w:fldCharType="separate"/>
        </w:r>
        <w:r w:rsidR="00F513CF">
          <w:rPr>
            <w:noProof/>
            <w:webHidden/>
            <w:szCs w:val="24"/>
          </w:rPr>
          <w:t>75</w:t>
        </w:r>
        <w:r w:rsidRPr="004A3204">
          <w:rPr>
            <w:noProof/>
            <w:webHidden/>
            <w:szCs w:val="24"/>
          </w:rPr>
          <w:fldChar w:fldCharType="end"/>
        </w:r>
      </w:hyperlink>
    </w:p>
    <w:p w:rsidR="00CA619C" w:rsidRPr="004A3204" w:rsidRDefault="00CA619C" w:rsidP="00CA619C">
      <w:pPr>
        <w:pStyle w:val="TOC3"/>
        <w:tabs>
          <w:tab w:val="left" w:pos="2100"/>
          <w:tab w:val="right" w:leader="dot" w:pos="8948"/>
        </w:tabs>
        <w:spacing w:line="426" w:lineRule="exact"/>
        <w:ind w:firstLine="480"/>
        <w:rPr>
          <w:noProof/>
          <w:szCs w:val="24"/>
        </w:rPr>
      </w:pPr>
      <w:hyperlink w:anchor="_Toc392853192" w:history="1">
        <w:r w:rsidRPr="004A3204">
          <w:rPr>
            <w:rStyle w:val="Hyperlink"/>
            <w:noProof/>
            <w:sz w:val="24"/>
            <w:szCs w:val="24"/>
          </w:rPr>
          <w:t>5.5.6.</w:t>
        </w:r>
        <w:r w:rsidRPr="004A3204">
          <w:rPr>
            <w:noProof/>
            <w:szCs w:val="24"/>
          </w:rPr>
          <w:tab/>
        </w:r>
        <w:r w:rsidRPr="004A3204">
          <w:rPr>
            <w:rStyle w:val="Hyperlink"/>
            <w:rFonts w:hint="eastAsia"/>
            <w:noProof/>
            <w:sz w:val="24"/>
            <w:szCs w:val="24"/>
          </w:rPr>
          <w:t>积极推进市场开放</w:t>
        </w:r>
        <w:r w:rsidRPr="004A3204">
          <w:rPr>
            <w:noProof/>
            <w:webHidden/>
            <w:szCs w:val="24"/>
          </w:rPr>
          <w:tab/>
        </w:r>
        <w:r w:rsidRPr="004A3204">
          <w:rPr>
            <w:noProof/>
            <w:webHidden/>
            <w:szCs w:val="24"/>
          </w:rPr>
          <w:fldChar w:fldCharType="begin"/>
        </w:r>
        <w:r w:rsidRPr="004A3204">
          <w:rPr>
            <w:noProof/>
            <w:webHidden/>
            <w:szCs w:val="24"/>
          </w:rPr>
          <w:instrText xml:space="preserve"> PAGEREF _Toc392853192 \h </w:instrText>
        </w:r>
        <w:r w:rsidRPr="004A3204">
          <w:rPr>
            <w:noProof/>
            <w:szCs w:val="24"/>
          </w:rPr>
        </w:r>
        <w:r w:rsidRPr="004A3204">
          <w:rPr>
            <w:noProof/>
            <w:webHidden/>
            <w:szCs w:val="24"/>
          </w:rPr>
          <w:fldChar w:fldCharType="separate"/>
        </w:r>
        <w:r w:rsidR="00F513CF">
          <w:rPr>
            <w:noProof/>
            <w:webHidden/>
            <w:szCs w:val="24"/>
          </w:rPr>
          <w:t>76</w:t>
        </w:r>
        <w:r w:rsidRPr="004A3204">
          <w:rPr>
            <w:noProof/>
            <w:webHidden/>
            <w:szCs w:val="24"/>
          </w:rPr>
          <w:fldChar w:fldCharType="end"/>
        </w:r>
      </w:hyperlink>
    </w:p>
    <w:p w:rsidR="00CA619C" w:rsidRPr="004A3204" w:rsidRDefault="00CA619C" w:rsidP="00CA619C">
      <w:pPr>
        <w:spacing w:line="426" w:lineRule="exact"/>
        <w:ind w:firstLine="480"/>
        <w:rPr>
          <w:rFonts w:hint="eastAsia"/>
          <w:szCs w:val="24"/>
        </w:rPr>
      </w:pPr>
      <w:r w:rsidRPr="004A3204">
        <w:rPr>
          <w:szCs w:val="24"/>
        </w:rPr>
        <w:fldChar w:fldCharType="end"/>
      </w:r>
    </w:p>
    <w:p w:rsidR="00CA619C" w:rsidRDefault="00CA619C" w:rsidP="00CA619C">
      <w:pPr>
        <w:spacing w:line="560" w:lineRule="exact"/>
        <w:ind w:firstLine="480"/>
        <w:sectPr w:rsidR="00CA619C">
          <w:footerReference w:type="default" r:id="rId16"/>
          <w:pgSz w:w="11906" w:h="16838"/>
          <w:pgMar w:top="1361" w:right="1474" w:bottom="1361" w:left="1474" w:header="851" w:footer="567" w:gutter="0"/>
          <w:pgNumType w:fmt="upperRoman" w:start="1"/>
          <w:cols w:space="720"/>
          <w:docGrid w:type="linesAndChars" w:linePitch="312"/>
        </w:sectPr>
      </w:pPr>
    </w:p>
    <w:p w:rsidR="00CA619C" w:rsidRDefault="00CA619C" w:rsidP="00CA619C">
      <w:pPr>
        <w:pStyle w:val="Heading1"/>
        <w:numPr>
          <w:ilvl w:val="0"/>
          <w:numId w:val="0"/>
        </w:numPr>
        <w:jc w:val="center"/>
        <w:rPr>
          <w:rFonts w:ascii="Calibri Light" w:hAnsi="Calibri Light" w:hint="eastAsia"/>
          <w:kern w:val="0"/>
          <w:szCs w:val="32"/>
          <w:lang w:val="zh-CN"/>
        </w:rPr>
      </w:pPr>
      <w:bookmarkStart w:id="2" w:name="_Toc392853099"/>
      <w:r>
        <w:rPr>
          <w:rFonts w:ascii="Calibri Light" w:hAnsi="Calibri Light" w:hint="eastAsia"/>
          <w:kern w:val="0"/>
          <w:szCs w:val="32"/>
          <w:lang w:val="zh-CN"/>
        </w:rPr>
        <w:t>图目录</w:t>
      </w:r>
      <w:bookmarkEnd w:id="2"/>
    </w:p>
    <w:p w:rsidR="00CA619C" w:rsidRDefault="00CA619C" w:rsidP="00CA619C">
      <w:pPr>
        <w:ind w:firstLine="480"/>
        <w:rPr>
          <w:rFonts w:hint="eastAsia"/>
          <w:szCs w:val="24"/>
          <w:lang w:val="zh-CN"/>
        </w:rPr>
      </w:pPr>
    </w:p>
    <w:p w:rsidR="00CA619C" w:rsidRPr="004A3204" w:rsidRDefault="00CA619C" w:rsidP="00CA619C">
      <w:pPr>
        <w:pStyle w:val="TOC1"/>
        <w:tabs>
          <w:tab w:val="left" w:pos="1260"/>
          <w:tab w:val="right" w:leader="dot" w:pos="8948"/>
        </w:tabs>
        <w:ind w:firstLine="480"/>
        <w:rPr>
          <w:rFonts w:ascii="宋体" w:hAnsi="宋体"/>
          <w:noProof/>
          <w:szCs w:val="24"/>
        </w:rPr>
      </w:pPr>
      <w:r w:rsidRPr="004A3204">
        <w:rPr>
          <w:rFonts w:ascii="宋体" w:hAnsi="宋体" w:hint="eastAsia"/>
          <w:szCs w:val="24"/>
        </w:rPr>
        <w:fldChar w:fldCharType="begin"/>
      </w:r>
      <w:r w:rsidRPr="004A3204">
        <w:rPr>
          <w:rFonts w:ascii="宋体" w:hAnsi="宋体" w:hint="eastAsia"/>
          <w:szCs w:val="24"/>
        </w:rPr>
        <w:instrText xml:space="preserve">TOC \t "图题,1" \h </w:instrText>
      </w:r>
      <w:r w:rsidRPr="004A3204">
        <w:rPr>
          <w:rFonts w:ascii="宋体" w:hAnsi="宋体" w:hint="eastAsia"/>
          <w:szCs w:val="24"/>
        </w:rPr>
        <w:fldChar w:fldCharType="separate"/>
      </w:r>
      <w:hyperlink w:anchor="_Toc392853193" w:history="1">
        <w:r w:rsidRPr="004A3204">
          <w:rPr>
            <w:rStyle w:val="Hyperlink"/>
            <w:rFonts w:ascii="宋体" w:hAnsi="宋体" w:cs="宋体" w:hint="eastAsia"/>
            <w:noProof/>
            <w:sz w:val="24"/>
            <w:szCs w:val="24"/>
          </w:rPr>
          <w:t>图1.</w:t>
        </w:r>
        <w:r w:rsidRPr="004A3204">
          <w:rPr>
            <w:rFonts w:ascii="宋体" w:hAnsi="宋体"/>
            <w:noProof/>
            <w:szCs w:val="24"/>
          </w:rPr>
          <w:tab/>
        </w:r>
        <w:r w:rsidRPr="004A3204">
          <w:rPr>
            <w:rStyle w:val="Hyperlink"/>
            <w:rFonts w:ascii="宋体" w:hAnsi="宋体"/>
            <w:noProof/>
            <w:sz w:val="24"/>
            <w:szCs w:val="24"/>
          </w:rPr>
          <w:t>1996</w:t>
        </w:r>
        <w:r w:rsidRPr="004A3204">
          <w:rPr>
            <w:rStyle w:val="Hyperlink"/>
            <w:rFonts w:ascii="宋体" w:hAnsi="宋体" w:hint="eastAsia"/>
            <w:noProof/>
            <w:sz w:val="24"/>
            <w:szCs w:val="24"/>
          </w:rPr>
          <w:t>年</w:t>
        </w:r>
        <w:r w:rsidRPr="004A3204">
          <w:rPr>
            <w:rStyle w:val="Hyperlink"/>
            <w:rFonts w:ascii="宋体" w:hAnsi="宋体"/>
            <w:noProof/>
            <w:sz w:val="24"/>
            <w:szCs w:val="24"/>
          </w:rPr>
          <w:t>-2012</w:t>
        </w:r>
        <w:r w:rsidRPr="004A3204">
          <w:rPr>
            <w:rStyle w:val="Hyperlink"/>
            <w:rFonts w:ascii="宋体" w:hAnsi="宋体" w:hint="eastAsia"/>
            <w:noProof/>
            <w:sz w:val="24"/>
            <w:szCs w:val="24"/>
          </w:rPr>
          <w:t>年全球风电新增装机及累计装机容量变化</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_Toc392853193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11</w:t>
        </w:r>
        <w:r w:rsidRPr="004A3204">
          <w:rPr>
            <w:rFonts w:ascii="宋体" w:hAnsi="宋体"/>
            <w:noProof/>
            <w:szCs w:val="24"/>
          </w:rPr>
          <w:fldChar w:fldCharType="end"/>
        </w:r>
      </w:hyperlink>
    </w:p>
    <w:p w:rsidR="00CA619C" w:rsidRPr="004A3204" w:rsidRDefault="00CA619C" w:rsidP="00CA619C">
      <w:pPr>
        <w:pStyle w:val="TOC1"/>
        <w:tabs>
          <w:tab w:val="left" w:pos="1260"/>
          <w:tab w:val="right" w:leader="dot" w:pos="8948"/>
        </w:tabs>
        <w:ind w:firstLine="480"/>
        <w:rPr>
          <w:rFonts w:ascii="宋体" w:hAnsi="宋体"/>
          <w:noProof/>
          <w:szCs w:val="24"/>
        </w:rPr>
      </w:pPr>
      <w:hyperlink w:anchor="_Toc392853194" w:history="1">
        <w:r w:rsidRPr="004A3204">
          <w:rPr>
            <w:rStyle w:val="Hyperlink"/>
            <w:rFonts w:ascii="宋体" w:hAnsi="宋体" w:cs="宋体" w:hint="eastAsia"/>
            <w:noProof/>
            <w:sz w:val="24"/>
            <w:szCs w:val="24"/>
          </w:rPr>
          <w:t>图2.</w:t>
        </w:r>
        <w:r w:rsidRPr="004A3204">
          <w:rPr>
            <w:rFonts w:ascii="宋体" w:hAnsi="宋体"/>
            <w:noProof/>
            <w:szCs w:val="24"/>
          </w:rPr>
          <w:tab/>
        </w:r>
        <w:r w:rsidRPr="004A3204">
          <w:rPr>
            <w:rStyle w:val="Hyperlink"/>
            <w:rFonts w:ascii="宋体" w:hAnsi="宋体"/>
            <w:noProof/>
            <w:sz w:val="24"/>
            <w:szCs w:val="24"/>
          </w:rPr>
          <w:t>2005</w:t>
        </w:r>
        <w:r w:rsidRPr="004A3204">
          <w:rPr>
            <w:rStyle w:val="Hyperlink"/>
            <w:rFonts w:ascii="宋体" w:hAnsi="宋体" w:hint="eastAsia"/>
            <w:noProof/>
            <w:sz w:val="24"/>
            <w:szCs w:val="24"/>
          </w:rPr>
          <w:t>年</w:t>
        </w:r>
        <w:r w:rsidRPr="004A3204">
          <w:rPr>
            <w:rStyle w:val="Hyperlink"/>
            <w:rFonts w:ascii="宋体" w:hAnsi="宋体"/>
            <w:noProof/>
            <w:sz w:val="24"/>
            <w:szCs w:val="24"/>
          </w:rPr>
          <w:t>-2012</w:t>
        </w:r>
        <w:r w:rsidRPr="004A3204">
          <w:rPr>
            <w:rStyle w:val="Hyperlink"/>
            <w:rFonts w:ascii="宋体" w:hAnsi="宋体" w:hint="eastAsia"/>
            <w:noProof/>
            <w:sz w:val="24"/>
            <w:szCs w:val="24"/>
          </w:rPr>
          <w:t>年全球主要地区风电装机装机容量比较</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_Toc392853194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12</w:t>
        </w:r>
        <w:r w:rsidRPr="004A3204">
          <w:rPr>
            <w:rFonts w:ascii="宋体" w:hAnsi="宋体"/>
            <w:noProof/>
            <w:szCs w:val="24"/>
          </w:rPr>
          <w:fldChar w:fldCharType="end"/>
        </w:r>
      </w:hyperlink>
    </w:p>
    <w:p w:rsidR="00CA619C" w:rsidRPr="004A3204" w:rsidRDefault="00CA619C" w:rsidP="00CA619C">
      <w:pPr>
        <w:pStyle w:val="TOC1"/>
        <w:tabs>
          <w:tab w:val="left" w:pos="1260"/>
          <w:tab w:val="right" w:leader="dot" w:pos="8948"/>
        </w:tabs>
        <w:ind w:firstLine="480"/>
        <w:rPr>
          <w:rFonts w:ascii="宋体" w:hAnsi="宋体"/>
          <w:noProof/>
          <w:szCs w:val="24"/>
        </w:rPr>
      </w:pPr>
      <w:hyperlink w:anchor="_Toc392853195" w:history="1">
        <w:r w:rsidRPr="004A3204">
          <w:rPr>
            <w:rStyle w:val="Hyperlink"/>
            <w:rFonts w:ascii="宋体" w:hAnsi="宋体" w:cs="宋体" w:hint="eastAsia"/>
            <w:noProof/>
            <w:sz w:val="24"/>
            <w:szCs w:val="24"/>
          </w:rPr>
          <w:t>图3.</w:t>
        </w:r>
        <w:r w:rsidRPr="004A3204">
          <w:rPr>
            <w:rFonts w:ascii="宋体" w:hAnsi="宋体"/>
            <w:noProof/>
            <w:szCs w:val="24"/>
          </w:rPr>
          <w:tab/>
        </w:r>
        <w:r w:rsidRPr="004A3204">
          <w:rPr>
            <w:rStyle w:val="Hyperlink"/>
            <w:rFonts w:ascii="宋体" w:hAnsi="宋体"/>
            <w:noProof/>
            <w:sz w:val="24"/>
            <w:szCs w:val="24"/>
          </w:rPr>
          <w:t>1999</w:t>
        </w:r>
        <w:r>
          <w:rPr>
            <w:rStyle w:val="Hyperlink"/>
            <w:rFonts w:ascii="宋体" w:hAnsi="宋体" w:hint="eastAsia"/>
            <w:noProof/>
            <w:sz w:val="24"/>
            <w:szCs w:val="24"/>
          </w:rPr>
          <w:t>-</w:t>
        </w:r>
        <w:r w:rsidRPr="004A3204">
          <w:rPr>
            <w:rStyle w:val="Hyperlink"/>
            <w:rFonts w:ascii="宋体" w:hAnsi="宋体"/>
            <w:noProof/>
            <w:sz w:val="24"/>
            <w:szCs w:val="24"/>
          </w:rPr>
          <w:t>2012</w:t>
        </w:r>
        <w:r w:rsidRPr="004A3204">
          <w:rPr>
            <w:rStyle w:val="Hyperlink"/>
            <w:rFonts w:ascii="宋体" w:hAnsi="宋体" w:hint="eastAsia"/>
            <w:noProof/>
            <w:sz w:val="24"/>
            <w:szCs w:val="24"/>
          </w:rPr>
          <w:t>年美国风电</w:t>
        </w:r>
        <w:r w:rsidRPr="004A3204">
          <w:rPr>
            <w:rStyle w:val="Hyperlink"/>
            <w:rFonts w:ascii="宋体" w:hAnsi="宋体" w:hint="eastAsia"/>
            <w:noProof/>
            <w:sz w:val="24"/>
            <w:szCs w:val="24"/>
          </w:rPr>
          <w:t>累</w:t>
        </w:r>
        <w:r w:rsidRPr="004A3204">
          <w:rPr>
            <w:rStyle w:val="Hyperlink"/>
            <w:rFonts w:ascii="宋体" w:hAnsi="宋体" w:hint="eastAsia"/>
            <w:noProof/>
            <w:sz w:val="24"/>
            <w:szCs w:val="24"/>
          </w:rPr>
          <w:t>计装机容量</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_Toc392853195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13</w:t>
        </w:r>
        <w:r w:rsidRPr="004A3204">
          <w:rPr>
            <w:rFonts w:ascii="宋体" w:hAnsi="宋体"/>
            <w:noProof/>
            <w:szCs w:val="24"/>
          </w:rPr>
          <w:fldChar w:fldCharType="end"/>
        </w:r>
      </w:hyperlink>
    </w:p>
    <w:p w:rsidR="00CA619C" w:rsidRPr="004A3204" w:rsidRDefault="00CA619C" w:rsidP="00CA619C">
      <w:pPr>
        <w:pStyle w:val="TOC1"/>
        <w:tabs>
          <w:tab w:val="left" w:pos="1260"/>
          <w:tab w:val="right" w:leader="dot" w:pos="8948"/>
        </w:tabs>
        <w:ind w:firstLine="480"/>
        <w:rPr>
          <w:rFonts w:ascii="宋体" w:hAnsi="宋体"/>
          <w:noProof/>
          <w:szCs w:val="24"/>
        </w:rPr>
      </w:pPr>
      <w:hyperlink w:anchor="_Toc392853196" w:history="1">
        <w:r w:rsidRPr="004A3204">
          <w:rPr>
            <w:rStyle w:val="Hyperlink"/>
            <w:rFonts w:ascii="宋体" w:hAnsi="宋体" w:cs="宋体" w:hint="eastAsia"/>
            <w:noProof/>
            <w:sz w:val="24"/>
            <w:szCs w:val="24"/>
          </w:rPr>
          <w:t>图4.</w:t>
        </w:r>
        <w:r w:rsidRPr="004A3204">
          <w:rPr>
            <w:rFonts w:ascii="宋体" w:hAnsi="宋体"/>
            <w:noProof/>
            <w:szCs w:val="24"/>
          </w:rPr>
          <w:tab/>
        </w:r>
        <w:r w:rsidRPr="004A3204">
          <w:rPr>
            <w:rStyle w:val="Hyperlink"/>
            <w:rFonts w:ascii="宋体" w:hAnsi="宋体" w:hint="eastAsia"/>
            <w:noProof/>
            <w:sz w:val="24"/>
            <w:szCs w:val="24"/>
          </w:rPr>
          <w:t>美国风能技术专利年度申请状况（</w:t>
        </w:r>
        <w:r w:rsidRPr="004A3204">
          <w:rPr>
            <w:rStyle w:val="Hyperlink"/>
            <w:rFonts w:ascii="宋体" w:hAnsi="宋体"/>
            <w:noProof/>
            <w:sz w:val="24"/>
            <w:szCs w:val="24"/>
          </w:rPr>
          <w:t>1971-2009</w:t>
        </w:r>
        <w:r w:rsidRPr="004A3204">
          <w:rPr>
            <w:rStyle w:val="Hyperlink"/>
            <w:rFonts w:ascii="宋体" w:hAnsi="宋体" w:hint="eastAsia"/>
            <w:noProof/>
            <w:sz w:val="24"/>
            <w:szCs w:val="24"/>
          </w:rPr>
          <w:t>）</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_Toc392853196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15</w:t>
        </w:r>
        <w:r w:rsidRPr="004A3204">
          <w:rPr>
            <w:rFonts w:ascii="宋体" w:hAnsi="宋体"/>
            <w:noProof/>
            <w:szCs w:val="24"/>
          </w:rPr>
          <w:fldChar w:fldCharType="end"/>
        </w:r>
      </w:hyperlink>
    </w:p>
    <w:p w:rsidR="00CA619C" w:rsidRPr="004A3204" w:rsidRDefault="00CA619C" w:rsidP="00CA619C">
      <w:pPr>
        <w:pStyle w:val="TOC1"/>
        <w:tabs>
          <w:tab w:val="left" w:pos="1260"/>
          <w:tab w:val="right" w:leader="dot" w:pos="8948"/>
        </w:tabs>
        <w:ind w:firstLine="480"/>
        <w:rPr>
          <w:rFonts w:ascii="宋体" w:hAnsi="宋体"/>
          <w:noProof/>
          <w:szCs w:val="24"/>
        </w:rPr>
      </w:pPr>
      <w:hyperlink w:anchor="_Toc392853197" w:history="1">
        <w:r w:rsidRPr="004A3204">
          <w:rPr>
            <w:rStyle w:val="Hyperlink"/>
            <w:rFonts w:ascii="宋体" w:hAnsi="宋体" w:cs="宋体" w:hint="eastAsia"/>
            <w:noProof/>
            <w:sz w:val="24"/>
            <w:szCs w:val="24"/>
            <w:lang w:val="en-US" w:eastAsia="en-US"/>
          </w:rPr>
          <w:t>图5.</w:t>
        </w:r>
        <w:r w:rsidRPr="004A3204">
          <w:rPr>
            <w:rFonts w:ascii="宋体" w:hAnsi="宋体"/>
            <w:noProof/>
            <w:szCs w:val="24"/>
          </w:rPr>
          <w:tab/>
        </w:r>
        <w:r w:rsidRPr="004A3204">
          <w:rPr>
            <w:rStyle w:val="Hyperlink"/>
            <w:rFonts w:ascii="宋体" w:hAnsi="宋体" w:hint="eastAsia"/>
            <w:noProof/>
            <w:sz w:val="24"/>
            <w:szCs w:val="24"/>
            <w:lang w:val="en-US"/>
          </w:rPr>
          <w:t>美国风能技术专利来源国家分析</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_Toc392853197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16</w:t>
        </w:r>
        <w:r w:rsidRPr="004A3204">
          <w:rPr>
            <w:rFonts w:ascii="宋体" w:hAnsi="宋体"/>
            <w:noProof/>
            <w:szCs w:val="24"/>
          </w:rPr>
          <w:fldChar w:fldCharType="end"/>
        </w:r>
      </w:hyperlink>
    </w:p>
    <w:p w:rsidR="00CA619C" w:rsidRPr="004A3204" w:rsidRDefault="00CA619C" w:rsidP="00CA619C">
      <w:pPr>
        <w:pStyle w:val="TOC1"/>
        <w:tabs>
          <w:tab w:val="left" w:pos="1260"/>
          <w:tab w:val="right" w:leader="dot" w:pos="8948"/>
        </w:tabs>
        <w:ind w:firstLine="480"/>
        <w:rPr>
          <w:rFonts w:ascii="宋体" w:hAnsi="宋体"/>
          <w:noProof/>
          <w:szCs w:val="24"/>
        </w:rPr>
      </w:pPr>
      <w:hyperlink w:anchor="_Toc392853198" w:history="1">
        <w:r w:rsidRPr="004A3204">
          <w:rPr>
            <w:rStyle w:val="Hyperlink"/>
            <w:rFonts w:ascii="宋体" w:hAnsi="宋体" w:cs="宋体" w:hint="eastAsia"/>
            <w:noProof/>
            <w:sz w:val="24"/>
            <w:szCs w:val="24"/>
          </w:rPr>
          <w:t>图6.</w:t>
        </w:r>
        <w:r w:rsidRPr="004A3204">
          <w:rPr>
            <w:rFonts w:ascii="宋体" w:hAnsi="宋体"/>
            <w:noProof/>
            <w:szCs w:val="24"/>
          </w:rPr>
          <w:tab/>
        </w:r>
        <w:r w:rsidRPr="004A3204">
          <w:rPr>
            <w:rStyle w:val="Hyperlink"/>
            <w:rFonts w:ascii="宋体" w:hAnsi="宋体"/>
            <w:noProof/>
            <w:sz w:val="24"/>
            <w:szCs w:val="24"/>
          </w:rPr>
          <w:t>2001</w:t>
        </w:r>
        <w:r w:rsidRPr="004A3204">
          <w:rPr>
            <w:rStyle w:val="Hyperlink"/>
            <w:rFonts w:ascii="宋体" w:hAnsi="宋体" w:hint="eastAsia"/>
            <w:noProof/>
            <w:sz w:val="24"/>
            <w:szCs w:val="24"/>
          </w:rPr>
          <w:t>年</w:t>
        </w:r>
        <w:r w:rsidRPr="004A3204">
          <w:rPr>
            <w:rStyle w:val="Hyperlink"/>
            <w:rFonts w:ascii="宋体" w:hAnsi="宋体"/>
            <w:noProof/>
            <w:sz w:val="24"/>
            <w:szCs w:val="24"/>
          </w:rPr>
          <w:t>-2012</w:t>
        </w:r>
        <w:r w:rsidRPr="004A3204">
          <w:rPr>
            <w:rStyle w:val="Hyperlink"/>
            <w:rFonts w:ascii="宋体" w:hAnsi="宋体" w:hint="eastAsia"/>
            <w:noProof/>
            <w:sz w:val="24"/>
            <w:szCs w:val="24"/>
          </w:rPr>
          <w:t>年中国风电新增及累计装机容量变化</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_Toc392853198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17</w:t>
        </w:r>
        <w:r w:rsidRPr="004A3204">
          <w:rPr>
            <w:rFonts w:ascii="宋体" w:hAnsi="宋体"/>
            <w:noProof/>
            <w:szCs w:val="24"/>
          </w:rPr>
          <w:fldChar w:fldCharType="end"/>
        </w:r>
      </w:hyperlink>
    </w:p>
    <w:p w:rsidR="00CA619C" w:rsidRPr="004A3204" w:rsidRDefault="00CA619C" w:rsidP="00CA619C">
      <w:pPr>
        <w:pStyle w:val="TOC1"/>
        <w:tabs>
          <w:tab w:val="left" w:pos="1260"/>
          <w:tab w:val="right" w:leader="dot" w:pos="8948"/>
        </w:tabs>
        <w:ind w:firstLine="480"/>
        <w:rPr>
          <w:rFonts w:ascii="宋体" w:hAnsi="宋体"/>
          <w:noProof/>
          <w:szCs w:val="24"/>
        </w:rPr>
      </w:pPr>
      <w:hyperlink w:anchor="_Toc392853199" w:history="1">
        <w:r w:rsidRPr="004A3204">
          <w:rPr>
            <w:rStyle w:val="Hyperlink"/>
            <w:rFonts w:ascii="宋体" w:hAnsi="宋体" w:cs="宋体" w:hint="eastAsia"/>
            <w:noProof/>
            <w:sz w:val="24"/>
            <w:szCs w:val="24"/>
          </w:rPr>
          <w:t>图7.</w:t>
        </w:r>
        <w:r w:rsidRPr="004A3204">
          <w:rPr>
            <w:rFonts w:ascii="宋体" w:hAnsi="宋体"/>
            <w:noProof/>
            <w:szCs w:val="24"/>
          </w:rPr>
          <w:tab/>
        </w:r>
        <w:r w:rsidRPr="004A3204">
          <w:rPr>
            <w:rStyle w:val="Hyperlink"/>
            <w:rFonts w:ascii="宋体" w:hAnsi="宋体"/>
            <w:noProof/>
            <w:sz w:val="24"/>
            <w:szCs w:val="24"/>
          </w:rPr>
          <w:t>2001</w:t>
        </w:r>
        <w:r>
          <w:rPr>
            <w:rStyle w:val="Hyperlink"/>
            <w:rFonts w:ascii="宋体" w:hAnsi="宋体" w:hint="eastAsia"/>
            <w:noProof/>
            <w:sz w:val="24"/>
            <w:szCs w:val="24"/>
          </w:rPr>
          <w:t>年</w:t>
        </w:r>
        <w:r w:rsidRPr="004A3204">
          <w:rPr>
            <w:rStyle w:val="Hyperlink"/>
            <w:rFonts w:ascii="宋体" w:hAnsi="宋体"/>
            <w:noProof/>
            <w:sz w:val="24"/>
            <w:szCs w:val="24"/>
          </w:rPr>
          <w:t>-</w:t>
        </w:r>
        <w:r w:rsidRPr="004A3204">
          <w:rPr>
            <w:rStyle w:val="Hyperlink"/>
            <w:rFonts w:ascii="宋体" w:hAnsi="宋体"/>
            <w:noProof/>
            <w:sz w:val="24"/>
            <w:szCs w:val="24"/>
          </w:rPr>
          <w:t>2013</w:t>
        </w:r>
        <w:r w:rsidRPr="004A3204">
          <w:rPr>
            <w:rStyle w:val="Hyperlink"/>
            <w:rFonts w:ascii="宋体" w:hAnsi="宋体" w:hint="eastAsia"/>
            <w:noProof/>
            <w:sz w:val="24"/>
            <w:szCs w:val="24"/>
          </w:rPr>
          <w:t>年全球年度新增及累积光伏装机容量</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_Toc392853199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24</w:t>
        </w:r>
        <w:r w:rsidRPr="004A3204">
          <w:rPr>
            <w:rFonts w:ascii="宋体" w:hAnsi="宋体"/>
            <w:noProof/>
            <w:szCs w:val="24"/>
          </w:rPr>
          <w:fldChar w:fldCharType="end"/>
        </w:r>
      </w:hyperlink>
    </w:p>
    <w:p w:rsidR="00CA619C" w:rsidRPr="004A3204" w:rsidRDefault="00CA619C" w:rsidP="00CA619C">
      <w:pPr>
        <w:pStyle w:val="TOC1"/>
        <w:tabs>
          <w:tab w:val="left" w:pos="1260"/>
          <w:tab w:val="right" w:leader="dot" w:pos="8948"/>
        </w:tabs>
        <w:ind w:firstLine="480"/>
        <w:rPr>
          <w:rFonts w:ascii="宋体" w:hAnsi="宋体"/>
          <w:noProof/>
          <w:szCs w:val="24"/>
        </w:rPr>
      </w:pPr>
      <w:hyperlink w:anchor="_Toc392853200" w:history="1">
        <w:r w:rsidRPr="004A3204">
          <w:rPr>
            <w:rStyle w:val="Hyperlink"/>
            <w:rFonts w:ascii="宋体" w:hAnsi="宋体" w:cs="宋体" w:hint="eastAsia"/>
            <w:noProof/>
            <w:sz w:val="24"/>
            <w:szCs w:val="24"/>
          </w:rPr>
          <w:t>图8.</w:t>
        </w:r>
        <w:r w:rsidRPr="004A3204">
          <w:rPr>
            <w:rFonts w:ascii="宋体" w:hAnsi="宋体"/>
            <w:noProof/>
            <w:szCs w:val="24"/>
          </w:rPr>
          <w:tab/>
        </w:r>
        <w:r w:rsidRPr="004A3204">
          <w:rPr>
            <w:rStyle w:val="Hyperlink"/>
            <w:rFonts w:ascii="宋体" w:hAnsi="宋体"/>
            <w:noProof/>
            <w:sz w:val="24"/>
            <w:szCs w:val="24"/>
          </w:rPr>
          <w:t>2012</w:t>
        </w:r>
        <w:r w:rsidRPr="004A3204">
          <w:rPr>
            <w:rStyle w:val="Hyperlink"/>
            <w:rFonts w:ascii="宋体" w:hAnsi="宋体" w:hint="eastAsia"/>
            <w:noProof/>
            <w:sz w:val="24"/>
            <w:szCs w:val="24"/>
          </w:rPr>
          <w:t>全球光伏市场分布</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_Toc392853200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24</w:t>
        </w:r>
        <w:r w:rsidRPr="004A3204">
          <w:rPr>
            <w:rFonts w:ascii="宋体" w:hAnsi="宋体"/>
            <w:noProof/>
            <w:szCs w:val="24"/>
          </w:rPr>
          <w:fldChar w:fldCharType="end"/>
        </w:r>
      </w:hyperlink>
    </w:p>
    <w:p w:rsidR="00CA619C" w:rsidRPr="004A3204" w:rsidRDefault="00CA619C" w:rsidP="00CA619C">
      <w:pPr>
        <w:pStyle w:val="TOC1"/>
        <w:tabs>
          <w:tab w:val="left" w:pos="1260"/>
          <w:tab w:val="right" w:leader="dot" w:pos="8948"/>
        </w:tabs>
        <w:ind w:firstLine="480"/>
        <w:rPr>
          <w:rFonts w:ascii="宋体" w:hAnsi="宋体"/>
          <w:noProof/>
          <w:szCs w:val="24"/>
        </w:rPr>
      </w:pPr>
      <w:hyperlink w:anchor="_Toc392853201" w:history="1">
        <w:r w:rsidRPr="004A3204">
          <w:rPr>
            <w:rStyle w:val="Hyperlink"/>
            <w:rFonts w:ascii="宋体" w:hAnsi="宋体" w:cs="宋体" w:hint="eastAsia"/>
            <w:noProof/>
            <w:sz w:val="24"/>
            <w:szCs w:val="24"/>
          </w:rPr>
          <w:t>图9.</w:t>
        </w:r>
        <w:r w:rsidRPr="004A3204">
          <w:rPr>
            <w:rFonts w:ascii="宋体" w:hAnsi="宋体"/>
            <w:noProof/>
            <w:szCs w:val="24"/>
          </w:rPr>
          <w:tab/>
        </w:r>
        <w:r w:rsidRPr="004A3204">
          <w:rPr>
            <w:rStyle w:val="Hyperlink"/>
            <w:rFonts w:ascii="宋体" w:hAnsi="宋体"/>
            <w:noProof/>
            <w:sz w:val="24"/>
            <w:szCs w:val="24"/>
          </w:rPr>
          <w:t>2012</w:t>
        </w:r>
        <w:r w:rsidRPr="004A3204">
          <w:rPr>
            <w:rStyle w:val="Hyperlink"/>
            <w:rFonts w:ascii="宋体" w:hAnsi="宋体" w:hint="eastAsia"/>
            <w:noProof/>
            <w:sz w:val="24"/>
            <w:szCs w:val="24"/>
          </w:rPr>
          <w:t>年全球多晶硅产量与成本分析</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_Toc392853201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25</w:t>
        </w:r>
        <w:r w:rsidRPr="004A3204">
          <w:rPr>
            <w:rFonts w:ascii="宋体" w:hAnsi="宋体"/>
            <w:noProof/>
            <w:szCs w:val="24"/>
          </w:rPr>
          <w:fldChar w:fldCharType="end"/>
        </w:r>
      </w:hyperlink>
    </w:p>
    <w:p w:rsidR="00CA619C" w:rsidRPr="004A3204" w:rsidRDefault="00CA619C" w:rsidP="00CA619C">
      <w:pPr>
        <w:pStyle w:val="TOC1"/>
        <w:tabs>
          <w:tab w:val="left" w:pos="1680"/>
          <w:tab w:val="right" w:leader="dot" w:pos="8948"/>
        </w:tabs>
        <w:ind w:firstLine="480"/>
        <w:rPr>
          <w:rFonts w:ascii="宋体" w:hAnsi="宋体"/>
          <w:noProof/>
          <w:szCs w:val="24"/>
        </w:rPr>
      </w:pPr>
      <w:hyperlink w:anchor="_Toc392853202" w:history="1">
        <w:r w:rsidRPr="004A3204">
          <w:rPr>
            <w:rStyle w:val="Hyperlink"/>
            <w:rFonts w:ascii="宋体" w:hAnsi="宋体" w:cs="宋体" w:hint="eastAsia"/>
            <w:noProof/>
            <w:sz w:val="24"/>
            <w:szCs w:val="24"/>
          </w:rPr>
          <w:t>图10.</w:t>
        </w:r>
        <w:r w:rsidRPr="004A3204">
          <w:rPr>
            <w:rFonts w:ascii="宋体" w:hAnsi="宋体"/>
            <w:noProof/>
            <w:szCs w:val="24"/>
          </w:rPr>
          <w:tab/>
        </w:r>
        <w:r w:rsidRPr="004A3204">
          <w:rPr>
            <w:rStyle w:val="Hyperlink"/>
            <w:rFonts w:ascii="宋体" w:hAnsi="宋体" w:hint="eastAsia"/>
            <w:noProof/>
            <w:sz w:val="24"/>
            <w:szCs w:val="24"/>
          </w:rPr>
          <w:t>全球光伏产量与市场需求分析</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_Toc392853202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26</w:t>
        </w:r>
        <w:r w:rsidRPr="004A3204">
          <w:rPr>
            <w:rFonts w:ascii="宋体" w:hAnsi="宋体"/>
            <w:noProof/>
            <w:szCs w:val="24"/>
          </w:rPr>
          <w:fldChar w:fldCharType="end"/>
        </w:r>
      </w:hyperlink>
    </w:p>
    <w:p w:rsidR="00CA619C" w:rsidRPr="004A3204" w:rsidRDefault="00CA619C" w:rsidP="00CA619C">
      <w:pPr>
        <w:pStyle w:val="TOC1"/>
        <w:tabs>
          <w:tab w:val="left" w:pos="1680"/>
          <w:tab w:val="right" w:leader="dot" w:pos="8948"/>
        </w:tabs>
        <w:ind w:firstLine="480"/>
        <w:rPr>
          <w:rFonts w:ascii="宋体" w:hAnsi="宋体"/>
          <w:noProof/>
          <w:szCs w:val="24"/>
        </w:rPr>
      </w:pPr>
      <w:hyperlink w:anchor="_Toc392853203" w:history="1">
        <w:r w:rsidRPr="004A3204">
          <w:rPr>
            <w:rStyle w:val="Hyperlink"/>
            <w:rFonts w:ascii="宋体" w:hAnsi="宋体" w:cs="宋体" w:hint="eastAsia"/>
            <w:noProof/>
            <w:sz w:val="24"/>
            <w:szCs w:val="24"/>
          </w:rPr>
          <w:t>图11.</w:t>
        </w:r>
        <w:r w:rsidRPr="004A3204">
          <w:rPr>
            <w:rFonts w:ascii="宋体" w:hAnsi="宋体"/>
            <w:noProof/>
            <w:szCs w:val="24"/>
          </w:rPr>
          <w:tab/>
        </w:r>
        <w:r w:rsidRPr="004A3204">
          <w:rPr>
            <w:rStyle w:val="Hyperlink"/>
            <w:rFonts w:ascii="宋体" w:hAnsi="宋体" w:hint="eastAsia"/>
            <w:noProof/>
            <w:sz w:val="24"/>
            <w:szCs w:val="24"/>
          </w:rPr>
          <w:t>美国所有连入电网光伏项目的平均装机成本（</w:t>
        </w:r>
        <w:r w:rsidRPr="004A3204">
          <w:rPr>
            <w:rStyle w:val="Hyperlink"/>
            <w:rFonts w:ascii="宋体" w:hAnsi="宋体"/>
            <w:noProof/>
            <w:sz w:val="24"/>
            <w:szCs w:val="24"/>
          </w:rPr>
          <w:t>1998-2010</w:t>
        </w:r>
        <w:r w:rsidRPr="004A3204">
          <w:rPr>
            <w:rStyle w:val="Hyperlink"/>
            <w:rFonts w:ascii="宋体" w:hAnsi="宋体" w:hint="eastAsia"/>
            <w:noProof/>
            <w:sz w:val="24"/>
            <w:szCs w:val="24"/>
          </w:rPr>
          <w:t>年）</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_Toc392853203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27</w:t>
        </w:r>
        <w:r w:rsidRPr="004A3204">
          <w:rPr>
            <w:rFonts w:ascii="宋体" w:hAnsi="宋体"/>
            <w:noProof/>
            <w:szCs w:val="24"/>
          </w:rPr>
          <w:fldChar w:fldCharType="end"/>
        </w:r>
      </w:hyperlink>
    </w:p>
    <w:p w:rsidR="00CA619C" w:rsidRPr="004A3204" w:rsidRDefault="00CA619C" w:rsidP="00CA619C">
      <w:pPr>
        <w:pStyle w:val="TOC1"/>
        <w:tabs>
          <w:tab w:val="left" w:pos="1680"/>
          <w:tab w:val="right" w:leader="dot" w:pos="8948"/>
        </w:tabs>
        <w:ind w:firstLine="480"/>
        <w:rPr>
          <w:rFonts w:ascii="宋体" w:hAnsi="宋体"/>
          <w:noProof/>
          <w:szCs w:val="24"/>
        </w:rPr>
      </w:pPr>
      <w:hyperlink w:anchor="_Toc392853204" w:history="1">
        <w:r w:rsidRPr="004A3204">
          <w:rPr>
            <w:rStyle w:val="Hyperlink"/>
            <w:rFonts w:ascii="宋体" w:hAnsi="宋体" w:cs="宋体" w:hint="eastAsia"/>
            <w:noProof/>
            <w:sz w:val="24"/>
            <w:szCs w:val="24"/>
          </w:rPr>
          <w:t>图12.</w:t>
        </w:r>
        <w:r w:rsidRPr="004A3204">
          <w:rPr>
            <w:rFonts w:ascii="宋体" w:hAnsi="宋体"/>
            <w:noProof/>
            <w:szCs w:val="24"/>
          </w:rPr>
          <w:tab/>
        </w:r>
        <w:r w:rsidRPr="004A3204">
          <w:rPr>
            <w:rStyle w:val="Hyperlink"/>
            <w:rFonts w:ascii="宋体" w:hAnsi="宋体"/>
            <w:noProof/>
            <w:sz w:val="24"/>
            <w:szCs w:val="24"/>
          </w:rPr>
          <w:t>2005</w:t>
        </w:r>
        <w:r w:rsidRPr="004A3204">
          <w:rPr>
            <w:rStyle w:val="Hyperlink"/>
            <w:rFonts w:ascii="宋体" w:hAnsi="宋体" w:hint="eastAsia"/>
            <w:noProof/>
            <w:sz w:val="24"/>
            <w:szCs w:val="24"/>
          </w:rPr>
          <w:t>年</w:t>
        </w:r>
        <w:r w:rsidRPr="004A3204">
          <w:rPr>
            <w:rStyle w:val="Hyperlink"/>
            <w:rFonts w:ascii="宋体" w:hAnsi="宋体"/>
            <w:noProof/>
            <w:sz w:val="24"/>
            <w:szCs w:val="24"/>
          </w:rPr>
          <w:t>-2013</w:t>
        </w:r>
        <w:r w:rsidRPr="004A3204">
          <w:rPr>
            <w:rStyle w:val="Hyperlink"/>
            <w:rFonts w:ascii="宋体" w:hAnsi="宋体" w:hint="eastAsia"/>
            <w:noProof/>
            <w:sz w:val="24"/>
            <w:szCs w:val="24"/>
          </w:rPr>
          <w:t>年中国光伏累计装机容量</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_Toc392853204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30</w:t>
        </w:r>
        <w:r w:rsidRPr="004A3204">
          <w:rPr>
            <w:rFonts w:ascii="宋体" w:hAnsi="宋体"/>
            <w:noProof/>
            <w:szCs w:val="24"/>
          </w:rPr>
          <w:fldChar w:fldCharType="end"/>
        </w:r>
      </w:hyperlink>
    </w:p>
    <w:p w:rsidR="00CA619C" w:rsidRPr="004A3204" w:rsidRDefault="00CA619C" w:rsidP="00CA619C">
      <w:pPr>
        <w:pStyle w:val="TOC1"/>
        <w:tabs>
          <w:tab w:val="left" w:pos="1680"/>
          <w:tab w:val="right" w:leader="dot" w:pos="8948"/>
        </w:tabs>
        <w:ind w:firstLine="480"/>
        <w:rPr>
          <w:rFonts w:ascii="宋体" w:hAnsi="宋体"/>
          <w:noProof/>
          <w:szCs w:val="24"/>
        </w:rPr>
      </w:pPr>
      <w:hyperlink w:anchor="_Toc392853205" w:history="1">
        <w:r w:rsidRPr="004A3204">
          <w:rPr>
            <w:rStyle w:val="Hyperlink"/>
            <w:rFonts w:ascii="宋体" w:hAnsi="宋体" w:cs="宋体" w:hint="eastAsia"/>
            <w:noProof/>
            <w:sz w:val="24"/>
            <w:szCs w:val="24"/>
          </w:rPr>
          <w:t>图13.</w:t>
        </w:r>
        <w:r w:rsidRPr="004A3204">
          <w:rPr>
            <w:rFonts w:ascii="宋体" w:hAnsi="宋体"/>
            <w:noProof/>
            <w:szCs w:val="24"/>
          </w:rPr>
          <w:tab/>
        </w:r>
        <w:r w:rsidRPr="004A3204">
          <w:rPr>
            <w:rStyle w:val="Hyperlink"/>
            <w:rFonts w:ascii="宋体" w:hAnsi="宋体"/>
            <w:noProof/>
            <w:sz w:val="24"/>
            <w:szCs w:val="24"/>
          </w:rPr>
          <w:t>2007</w:t>
        </w:r>
        <w:r w:rsidRPr="004A3204">
          <w:rPr>
            <w:rStyle w:val="Hyperlink"/>
            <w:rFonts w:ascii="宋体" w:hAnsi="宋体" w:hint="eastAsia"/>
            <w:noProof/>
            <w:sz w:val="24"/>
            <w:szCs w:val="24"/>
          </w:rPr>
          <w:t>年</w:t>
        </w:r>
        <w:r w:rsidRPr="004A3204">
          <w:rPr>
            <w:rStyle w:val="Hyperlink"/>
            <w:rFonts w:ascii="宋体" w:hAnsi="宋体"/>
            <w:noProof/>
            <w:sz w:val="24"/>
            <w:szCs w:val="24"/>
          </w:rPr>
          <w:t>-2012</w:t>
        </w:r>
        <w:r w:rsidRPr="004A3204">
          <w:rPr>
            <w:rStyle w:val="Hyperlink"/>
            <w:rFonts w:ascii="宋体" w:hAnsi="宋体" w:hint="eastAsia"/>
            <w:noProof/>
            <w:sz w:val="24"/>
            <w:szCs w:val="24"/>
          </w:rPr>
          <w:t>年中国光伏新增装机量及增长情况</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_Toc392853205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30</w:t>
        </w:r>
        <w:r w:rsidRPr="004A3204">
          <w:rPr>
            <w:rFonts w:ascii="宋体" w:hAnsi="宋体"/>
            <w:noProof/>
            <w:szCs w:val="24"/>
          </w:rPr>
          <w:fldChar w:fldCharType="end"/>
        </w:r>
      </w:hyperlink>
    </w:p>
    <w:p w:rsidR="00CA619C" w:rsidRPr="004A3204" w:rsidRDefault="00CA619C" w:rsidP="00CA619C">
      <w:pPr>
        <w:pStyle w:val="TOC1"/>
        <w:tabs>
          <w:tab w:val="left" w:pos="1680"/>
          <w:tab w:val="right" w:leader="dot" w:pos="8948"/>
        </w:tabs>
        <w:ind w:firstLine="480"/>
        <w:rPr>
          <w:rFonts w:ascii="宋体" w:hAnsi="宋体"/>
          <w:noProof/>
          <w:szCs w:val="24"/>
        </w:rPr>
      </w:pPr>
      <w:hyperlink w:anchor="_Toc392853206" w:history="1">
        <w:r w:rsidRPr="004A3204">
          <w:rPr>
            <w:rStyle w:val="Hyperlink"/>
            <w:rFonts w:ascii="宋体" w:hAnsi="宋体" w:cs="宋体" w:hint="eastAsia"/>
            <w:noProof/>
            <w:sz w:val="24"/>
            <w:szCs w:val="24"/>
          </w:rPr>
          <w:t>图14.</w:t>
        </w:r>
        <w:r w:rsidRPr="004A3204">
          <w:rPr>
            <w:rFonts w:ascii="宋体" w:hAnsi="宋体"/>
            <w:noProof/>
            <w:szCs w:val="24"/>
          </w:rPr>
          <w:tab/>
        </w:r>
        <w:r w:rsidRPr="004A3204">
          <w:rPr>
            <w:rStyle w:val="Hyperlink"/>
            <w:rFonts w:ascii="宋体" w:hAnsi="宋体" w:hint="eastAsia"/>
            <w:noProof/>
            <w:sz w:val="24"/>
            <w:szCs w:val="24"/>
          </w:rPr>
          <w:t>中国不同地区光伏发电价格变化趋势</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_Toc392853206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31</w:t>
        </w:r>
        <w:r w:rsidRPr="004A3204">
          <w:rPr>
            <w:rFonts w:ascii="宋体" w:hAnsi="宋体"/>
            <w:noProof/>
            <w:szCs w:val="24"/>
          </w:rPr>
          <w:fldChar w:fldCharType="end"/>
        </w:r>
      </w:hyperlink>
    </w:p>
    <w:p w:rsidR="00CA619C" w:rsidRPr="004A3204" w:rsidRDefault="00CA619C" w:rsidP="00CA619C">
      <w:pPr>
        <w:pStyle w:val="TOC1"/>
        <w:tabs>
          <w:tab w:val="left" w:pos="1680"/>
          <w:tab w:val="right" w:leader="dot" w:pos="8948"/>
        </w:tabs>
        <w:ind w:firstLine="480"/>
        <w:rPr>
          <w:rFonts w:ascii="宋体" w:hAnsi="宋体"/>
          <w:noProof/>
          <w:szCs w:val="24"/>
        </w:rPr>
      </w:pPr>
      <w:hyperlink w:anchor="_Toc392853207" w:history="1">
        <w:r w:rsidRPr="004A3204">
          <w:rPr>
            <w:rStyle w:val="Hyperlink"/>
            <w:rFonts w:ascii="宋体" w:hAnsi="宋体" w:cs="宋体" w:hint="eastAsia"/>
            <w:noProof/>
            <w:sz w:val="24"/>
            <w:szCs w:val="24"/>
          </w:rPr>
          <w:t>图15.</w:t>
        </w:r>
        <w:r w:rsidRPr="004A3204">
          <w:rPr>
            <w:rFonts w:ascii="宋体" w:hAnsi="宋体"/>
            <w:noProof/>
            <w:szCs w:val="24"/>
          </w:rPr>
          <w:tab/>
        </w:r>
        <w:r w:rsidRPr="004A3204">
          <w:rPr>
            <w:rStyle w:val="Hyperlink"/>
            <w:rFonts w:ascii="宋体" w:hAnsi="宋体"/>
            <w:noProof/>
            <w:sz w:val="24"/>
            <w:szCs w:val="24"/>
          </w:rPr>
          <w:t>2011</w:t>
        </w:r>
        <w:r w:rsidRPr="004A3204">
          <w:rPr>
            <w:rStyle w:val="Hyperlink"/>
            <w:rFonts w:ascii="宋体" w:hAnsi="宋体" w:hint="eastAsia"/>
            <w:noProof/>
            <w:sz w:val="24"/>
            <w:szCs w:val="24"/>
          </w:rPr>
          <w:t>年全球电网储能装机容量</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_Toc392853207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35</w:t>
        </w:r>
        <w:r w:rsidRPr="004A3204">
          <w:rPr>
            <w:rFonts w:ascii="宋体" w:hAnsi="宋体"/>
            <w:noProof/>
            <w:szCs w:val="24"/>
          </w:rPr>
          <w:fldChar w:fldCharType="end"/>
        </w:r>
      </w:hyperlink>
    </w:p>
    <w:p w:rsidR="00CA619C" w:rsidRPr="004A3204" w:rsidRDefault="00CA619C" w:rsidP="00CA619C">
      <w:pPr>
        <w:pStyle w:val="TOC1"/>
        <w:tabs>
          <w:tab w:val="left" w:pos="1680"/>
          <w:tab w:val="right" w:leader="dot" w:pos="8948"/>
        </w:tabs>
        <w:ind w:firstLine="480"/>
        <w:rPr>
          <w:rFonts w:ascii="宋体" w:hAnsi="宋体"/>
          <w:noProof/>
          <w:szCs w:val="24"/>
        </w:rPr>
      </w:pPr>
      <w:hyperlink w:anchor="_Toc392853208" w:history="1">
        <w:r w:rsidRPr="004A3204">
          <w:rPr>
            <w:rStyle w:val="Hyperlink"/>
            <w:rFonts w:ascii="宋体" w:hAnsi="宋体" w:cs="宋体" w:hint="eastAsia"/>
            <w:noProof/>
            <w:sz w:val="24"/>
            <w:szCs w:val="24"/>
          </w:rPr>
          <w:t>图16.</w:t>
        </w:r>
        <w:r w:rsidRPr="004A3204">
          <w:rPr>
            <w:rFonts w:ascii="宋体" w:hAnsi="宋体"/>
            <w:noProof/>
            <w:szCs w:val="24"/>
          </w:rPr>
          <w:tab/>
        </w:r>
        <w:r w:rsidRPr="004A3204">
          <w:rPr>
            <w:rStyle w:val="Hyperlink"/>
            <w:rFonts w:ascii="宋体" w:hAnsi="宋体" w:hint="eastAsia"/>
            <w:noProof/>
            <w:sz w:val="24"/>
            <w:szCs w:val="24"/>
          </w:rPr>
          <w:t>美国页岩气产量与占天然气总量比例（</w:t>
        </w:r>
        <w:r w:rsidRPr="004A3204">
          <w:rPr>
            <w:rStyle w:val="Hyperlink"/>
            <w:rFonts w:ascii="宋体" w:hAnsi="宋体"/>
            <w:noProof/>
            <w:sz w:val="24"/>
            <w:szCs w:val="24"/>
          </w:rPr>
          <w:t>2007-2012</w:t>
        </w:r>
        <w:r w:rsidRPr="004A3204">
          <w:rPr>
            <w:rStyle w:val="Hyperlink"/>
            <w:rFonts w:ascii="宋体" w:hAnsi="宋体" w:hint="eastAsia"/>
            <w:noProof/>
            <w:sz w:val="24"/>
            <w:szCs w:val="24"/>
          </w:rPr>
          <w:t>）</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_Toc392853208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39</w:t>
        </w:r>
        <w:r w:rsidRPr="004A3204">
          <w:rPr>
            <w:rFonts w:ascii="宋体" w:hAnsi="宋体"/>
            <w:noProof/>
            <w:szCs w:val="24"/>
          </w:rPr>
          <w:fldChar w:fldCharType="end"/>
        </w:r>
      </w:hyperlink>
    </w:p>
    <w:p w:rsidR="00CA619C" w:rsidRPr="004A3204" w:rsidRDefault="00CA619C" w:rsidP="00CA619C">
      <w:pPr>
        <w:pStyle w:val="TOC1"/>
        <w:tabs>
          <w:tab w:val="left" w:pos="1680"/>
          <w:tab w:val="right" w:leader="dot" w:pos="8948"/>
        </w:tabs>
        <w:ind w:firstLine="480"/>
        <w:rPr>
          <w:rFonts w:ascii="宋体" w:hAnsi="宋体"/>
          <w:noProof/>
          <w:szCs w:val="24"/>
        </w:rPr>
      </w:pPr>
      <w:hyperlink w:anchor="_Toc392853209" w:history="1">
        <w:r w:rsidRPr="004A3204">
          <w:rPr>
            <w:rStyle w:val="Hyperlink"/>
            <w:rFonts w:ascii="宋体" w:hAnsi="宋体" w:cs="宋体" w:hint="eastAsia"/>
            <w:noProof/>
            <w:sz w:val="24"/>
            <w:szCs w:val="24"/>
          </w:rPr>
          <w:t>图17.</w:t>
        </w:r>
        <w:r w:rsidRPr="004A3204">
          <w:rPr>
            <w:rFonts w:ascii="宋体" w:hAnsi="宋体"/>
            <w:noProof/>
            <w:szCs w:val="24"/>
          </w:rPr>
          <w:tab/>
        </w:r>
        <w:r w:rsidRPr="004A3204">
          <w:rPr>
            <w:rStyle w:val="Hyperlink"/>
            <w:rFonts w:ascii="宋体" w:hAnsi="宋体"/>
            <w:noProof/>
            <w:sz w:val="24"/>
            <w:szCs w:val="24"/>
          </w:rPr>
          <w:t>2010</w:t>
        </w:r>
        <w:r>
          <w:rPr>
            <w:rStyle w:val="Hyperlink"/>
            <w:rFonts w:ascii="宋体" w:hAnsi="宋体" w:hint="eastAsia"/>
            <w:noProof/>
            <w:sz w:val="24"/>
            <w:szCs w:val="24"/>
          </w:rPr>
          <w:t>年</w:t>
        </w:r>
        <w:r w:rsidRPr="004A3204">
          <w:rPr>
            <w:rStyle w:val="Hyperlink"/>
            <w:rFonts w:ascii="宋体" w:hAnsi="宋体"/>
            <w:noProof/>
            <w:sz w:val="24"/>
            <w:szCs w:val="24"/>
          </w:rPr>
          <w:t>-</w:t>
        </w:r>
        <w:r w:rsidRPr="004A3204">
          <w:rPr>
            <w:rStyle w:val="Hyperlink"/>
            <w:rFonts w:ascii="宋体" w:hAnsi="宋体"/>
            <w:noProof/>
            <w:sz w:val="24"/>
            <w:szCs w:val="24"/>
          </w:rPr>
          <w:t>2040</w:t>
        </w:r>
        <w:r w:rsidRPr="004A3204">
          <w:rPr>
            <w:rStyle w:val="Hyperlink"/>
            <w:rFonts w:ascii="宋体" w:hAnsi="宋体" w:hint="eastAsia"/>
            <w:noProof/>
            <w:sz w:val="24"/>
            <w:szCs w:val="24"/>
          </w:rPr>
          <w:t>年美国天然气出口量</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_Toc392853209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39</w:t>
        </w:r>
        <w:r w:rsidRPr="004A3204">
          <w:rPr>
            <w:rFonts w:ascii="宋体" w:hAnsi="宋体"/>
            <w:noProof/>
            <w:szCs w:val="24"/>
          </w:rPr>
          <w:fldChar w:fldCharType="end"/>
        </w:r>
      </w:hyperlink>
    </w:p>
    <w:p w:rsidR="00CA619C" w:rsidRPr="004A3204" w:rsidRDefault="00CA619C" w:rsidP="00CA619C">
      <w:pPr>
        <w:pStyle w:val="TOC1"/>
        <w:tabs>
          <w:tab w:val="left" w:pos="1680"/>
          <w:tab w:val="right" w:leader="dot" w:pos="8948"/>
        </w:tabs>
        <w:ind w:firstLine="480"/>
        <w:rPr>
          <w:rFonts w:ascii="宋体" w:hAnsi="宋体"/>
          <w:noProof/>
          <w:szCs w:val="24"/>
        </w:rPr>
      </w:pPr>
      <w:hyperlink w:anchor="_Toc392853210" w:history="1">
        <w:r w:rsidRPr="004A3204">
          <w:rPr>
            <w:rStyle w:val="Hyperlink"/>
            <w:rFonts w:ascii="宋体" w:hAnsi="宋体" w:cs="宋体" w:hint="eastAsia"/>
            <w:noProof/>
            <w:sz w:val="24"/>
            <w:szCs w:val="24"/>
          </w:rPr>
          <w:t>图18.</w:t>
        </w:r>
        <w:r w:rsidRPr="004A3204">
          <w:rPr>
            <w:rFonts w:ascii="宋体" w:hAnsi="宋体"/>
            <w:noProof/>
            <w:szCs w:val="24"/>
          </w:rPr>
          <w:tab/>
        </w:r>
        <w:r w:rsidRPr="004A3204">
          <w:rPr>
            <w:rStyle w:val="Hyperlink"/>
            <w:rFonts w:ascii="宋体" w:hAnsi="宋体" w:hint="eastAsia"/>
            <w:noProof/>
            <w:sz w:val="24"/>
            <w:szCs w:val="24"/>
          </w:rPr>
          <w:t>美国天然气生产与消费量（</w:t>
        </w:r>
        <w:r w:rsidRPr="004A3204">
          <w:rPr>
            <w:rStyle w:val="Hyperlink"/>
            <w:rFonts w:ascii="宋体" w:hAnsi="宋体"/>
            <w:noProof/>
            <w:sz w:val="24"/>
            <w:szCs w:val="24"/>
          </w:rPr>
          <w:t>1990-2040</w:t>
        </w:r>
        <w:r w:rsidRPr="004A3204">
          <w:rPr>
            <w:rStyle w:val="Hyperlink"/>
            <w:rFonts w:ascii="宋体" w:hAnsi="宋体" w:hint="eastAsia"/>
            <w:noProof/>
            <w:sz w:val="24"/>
            <w:szCs w:val="24"/>
          </w:rPr>
          <w:t>）（单位：万亿立方英尺）</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_Toc392853210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40</w:t>
        </w:r>
        <w:r w:rsidRPr="004A3204">
          <w:rPr>
            <w:rFonts w:ascii="宋体" w:hAnsi="宋体"/>
            <w:noProof/>
            <w:szCs w:val="24"/>
          </w:rPr>
          <w:fldChar w:fldCharType="end"/>
        </w:r>
      </w:hyperlink>
    </w:p>
    <w:p w:rsidR="00CA619C" w:rsidRPr="004A3204" w:rsidRDefault="00CA619C" w:rsidP="00CA619C">
      <w:pPr>
        <w:pStyle w:val="TOC1"/>
        <w:tabs>
          <w:tab w:val="left" w:pos="1680"/>
          <w:tab w:val="right" w:leader="dot" w:pos="8948"/>
        </w:tabs>
        <w:ind w:firstLine="480"/>
        <w:rPr>
          <w:rFonts w:ascii="宋体" w:hAnsi="宋体"/>
          <w:noProof/>
          <w:szCs w:val="24"/>
        </w:rPr>
      </w:pPr>
      <w:hyperlink w:anchor="_Toc392853211" w:history="1">
        <w:r w:rsidRPr="004A3204">
          <w:rPr>
            <w:rStyle w:val="Hyperlink"/>
            <w:rFonts w:ascii="宋体" w:hAnsi="宋体" w:cs="宋体" w:hint="eastAsia"/>
            <w:noProof/>
            <w:sz w:val="24"/>
            <w:szCs w:val="24"/>
          </w:rPr>
          <w:t>图19.</w:t>
        </w:r>
        <w:r w:rsidRPr="004A3204">
          <w:rPr>
            <w:rFonts w:ascii="宋体" w:hAnsi="宋体"/>
            <w:noProof/>
            <w:szCs w:val="24"/>
          </w:rPr>
          <w:tab/>
        </w:r>
        <w:r w:rsidRPr="004A3204">
          <w:rPr>
            <w:rStyle w:val="Hyperlink"/>
            <w:rFonts w:ascii="宋体" w:hAnsi="宋体" w:hint="eastAsia"/>
            <w:noProof/>
            <w:sz w:val="24"/>
            <w:szCs w:val="24"/>
          </w:rPr>
          <w:t>中石化焦石坝地区五峰组</w:t>
        </w:r>
        <w:r w:rsidRPr="004A3204">
          <w:rPr>
            <w:rStyle w:val="Hyperlink"/>
            <w:rFonts w:ascii="宋体" w:hAnsi="宋体"/>
            <w:noProof/>
            <w:sz w:val="24"/>
            <w:szCs w:val="24"/>
          </w:rPr>
          <w:t>-</w:t>
        </w:r>
        <w:r w:rsidRPr="004A3204">
          <w:rPr>
            <w:rStyle w:val="Hyperlink"/>
            <w:rFonts w:ascii="宋体" w:hAnsi="宋体" w:hint="eastAsia"/>
            <w:noProof/>
            <w:sz w:val="24"/>
            <w:szCs w:val="24"/>
          </w:rPr>
          <w:t>龙马溪组一段气藏（矿权范围内）日产量</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_Toc392853211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45</w:t>
        </w:r>
        <w:r w:rsidRPr="004A3204">
          <w:rPr>
            <w:rFonts w:ascii="宋体" w:hAnsi="宋体"/>
            <w:noProof/>
            <w:szCs w:val="24"/>
          </w:rPr>
          <w:fldChar w:fldCharType="end"/>
        </w:r>
      </w:hyperlink>
    </w:p>
    <w:p w:rsidR="00CA619C" w:rsidRPr="004A3204" w:rsidRDefault="00CA619C" w:rsidP="00CA619C">
      <w:pPr>
        <w:pStyle w:val="TOC1"/>
        <w:tabs>
          <w:tab w:val="left" w:pos="1680"/>
          <w:tab w:val="right" w:leader="dot" w:pos="8948"/>
        </w:tabs>
        <w:ind w:firstLine="480"/>
        <w:rPr>
          <w:rFonts w:ascii="宋体" w:hAnsi="宋体"/>
          <w:noProof/>
          <w:szCs w:val="24"/>
        </w:rPr>
      </w:pPr>
      <w:hyperlink w:anchor="_Toc392853212" w:history="1">
        <w:r w:rsidRPr="004A3204">
          <w:rPr>
            <w:rStyle w:val="Hyperlink"/>
            <w:rFonts w:ascii="宋体" w:hAnsi="宋体" w:cs="宋体" w:hint="eastAsia"/>
            <w:noProof/>
            <w:sz w:val="24"/>
            <w:szCs w:val="24"/>
          </w:rPr>
          <w:t>图20.</w:t>
        </w:r>
        <w:r w:rsidRPr="004A3204">
          <w:rPr>
            <w:rFonts w:ascii="宋体" w:hAnsi="宋体"/>
            <w:noProof/>
            <w:szCs w:val="24"/>
          </w:rPr>
          <w:tab/>
        </w:r>
        <w:r w:rsidRPr="004A3204">
          <w:rPr>
            <w:rStyle w:val="Hyperlink"/>
            <w:rFonts w:ascii="宋体" w:hAnsi="宋体" w:hint="eastAsia"/>
            <w:noProof/>
            <w:sz w:val="24"/>
            <w:szCs w:val="24"/>
          </w:rPr>
          <w:t>美国新兴能源产业技术创新支撑体系框架</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_Toc392853212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50</w:t>
        </w:r>
        <w:r w:rsidRPr="004A3204">
          <w:rPr>
            <w:rFonts w:ascii="宋体" w:hAnsi="宋体"/>
            <w:noProof/>
            <w:szCs w:val="24"/>
          </w:rPr>
          <w:fldChar w:fldCharType="end"/>
        </w:r>
      </w:hyperlink>
    </w:p>
    <w:p w:rsidR="00CA619C" w:rsidRPr="004A3204" w:rsidRDefault="00CA619C" w:rsidP="00CA619C">
      <w:pPr>
        <w:pStyle w:val="TOC1"/>
        <w:tabs>
          <w:tab w:val="left" w:pos="1680"/>
          <w:tab w:val="right" w:leader="dot" w:pos="8948"/>
        </w:tabs>
        <w:ind w:firstLine="480"/>
        <w:rPr>
          <w:rFonts w:ascii="宋体" w:hAnsi="宋体"/>
          <w:noProof/>
          <w:szCs w:val="24"/>
        </w:rPr>
      </w:pPr>
      <w:hyperlink w:anchor="_Toc392853213" w:history="1">
        <w:r w:rsidRPr="004A3204">
          <w:rPr>
            <w:rStyle w:val="Hyperlink"/>
            <w:rFonts w:ascii="宋体" w:hAnsi="宋体" w:cs="宋体" w:hint="eastAsia"/>
            <w:noProof/>
            <w:sz w:val="24"/>
            <w:szCs w:val="24"/>
          </w:rPr>
          <w:t>图21.</w:t>
        </w:r>
        <w:r w:rsidRPr="004A3204">
          <w:rPr>
            <w:rFonts w:ascii="宋体" w:hAnsi="宋体"/>
            <w:noProof/>
            <w:szCs w:val="24"/>
          </w:rPr>
          <w:tab/>
        </w:r>
        <w:r w:rsidRPr="004A3204">
          <w:rPr>
            <w:rStyle w:val="Hyperlink"/>
            <w:rFonts w:ascii="宋体" w:hAnsi="宋体" w:hint="eastAsia"/>
            <w:noProof/>
            <w:sz w:val="24"/>
            <w:szCs w:val="24"/>
          </w:rPr>
          <w:t>美国能源部对能源技术的支持体系</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_Toc392853213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52</w:t>
        </w:r>
        <w:r w:rsidRPr="004A3204">
          <w:rPr>
            <w:rFonts w:ascii="宋体" w:hAnsi="宋体"/>
            <w:noProof/>
            <w:szCs w:val="24"/>
          </w:rPr>
          <w:fldChar w:fldCharType="end"/>
        </w:r>
      </w:hyperlink>
    </w:p>
    <w:p w:rsidR="00CA619C" w:rsidRPr="004A3204" w:rsidRDefault="00CA619C" w:rsidP="00CA619C">
      <w:pPr>
        <w:pStyle w:val="TOC1"/>
        <w:tabs>
          <w:tab w:val="left" w:pos="1680"/>
          <w:tab w:val="right" w:leader="dot" w:pos="8948"/>
        </w:tabs>
        <w:ind w:firstLine="480"/>
        <w:rPr>
          <w:rFonts w:ascii="宋体" w:hAnsi="宋体"/>
          <w:noProof/>
          <w:szCs w:val="24"/>
        </w:rPr>
      </w:pPr>
      <w:hyperlink w:anchor="_Toc392853214" w:history="1">
        <w:r w:rsidRPr="004A3204">
          <w:rPr>
            <w:rStyle w:val="Hyperlink"/>
            <w:rFonts w:ascii="宋体" w:hAnsi="宋体" w:cs="宋体" w:hint="eastAsia"/>
            <w:noProof/>
            <w:sz w:val="24"/>
            <w:szCs w:val="24"/>
          </w:rPr>
          <w:t>图22.</w:t>
        </w:r>
        <w:r w:rsidRPr="004A3204">
          <w:rPr>
            <w:rFonts w:ascii="宋体" w:hAnsi="宋体"/>
            <w:noProof/>
            <w:szCs w:val="24"/>
          </w:rPr>
          <w:tab/>
        </w:r>
        <w:r w:rsidRPr="004A3204">
          <w:rPr>
            <w:rStyle w:val="Hyperlink"/>
            <w:rFonts w:ascii="宋体" w:hAnsi="宋体" w:hint="eastAsia"/>
            <w:noProof/>
            <w:sz w:val="24"/>
            <w:szCs w:val="24"/>
          </w:rPr>
          <w:t>美国将大学和公共研究机构的技术转移到企业的路径及方式</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_Toc392853214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60</w:t>
        </w:r>
        <w:r w:rsidRPr="004A3204">
          <w:rPr>
            <w:rFonts w:ascii="宋体" w:hAnsi="宋体"/>
            <w:noProof/>
            <w:szCs w:val="24"/>
          </w:rPr>
          <w:fldChar w:fldCharType="end"/>
        </w:r>
      </w:hyperlink>
    </w:p>
    <w:p w:rsidR="00CA619C" w:rsidRPr="004A3204" w:rsidRDefault="00CA619C" w:rsidP="00CA619C">
      <w:pPr>
        <w:pStyle w:val="TOC1"/>
        <w:tabs>
          <w:tab w:val="left" w:pos="1680"/>
          <w:tab w:val="right" w:leader="dot" w:pos="8948"/>
        </w:tabs>
        <w:ind w:firstLine="480"/>
        <w:rPr>
          <w:rFonts w:ascii="宋体" w:hAnsi="宋体"/>
          <w:noProof/>
          <w:szCs w:val="24"/>
        </w:rPr>
      </w:pPr>
      <w:hyperlink w:anchor="_Toc392853215" w:history="1">
        <w:r w:rsidRPr="004A3204">
          <w:rPr>
            <w:rStyle w:val="Hyperlink"/>
            <w:rFonts w:ascii="宋体" w:hAnsi="宋体" w:cs="宋体" w:hint="eastAsia"/>
            <w:noProof/>
            <w:sz w:val="24"/>
            <w:szCs w:val="24"/>
          </w:rPr>
          <w:t>图23.</w:t>
        </w:r>
        <w:r w:rsidRPr="004A3204">
          <w:rPr>
            <w:rFonts w:ascii="宋体" w:hAnsi="宋体"/>
            <w:noProof/>
            <w:szCs w:val="24"/>
          </w:rPr>
          <w:tab/>
        </w:r>
        <w:r w:rsidRPr="004A3204">
          <w:rPr>
            <w:rStyle w:val="Hyperlink"/>
            <w:rFonts w:ascii="宋体" w:hAnsi="宋体" w:hint="eastAsia"/>
            <w:noProof/>
            <w:sz w:val="24"/>
            <w:szCs w:val="24"/>
          </w:rPr>
          <w:t>能源创新—如何将技术规模化</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_Toc392853215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61</w:t>
        </w:r>
        <w:r w:rsidRPr="004A3204">
          <w:rPr>
            <w:rFonts w:ascii="宋体" w:hAnsi="宋体"/>
            <w:noProof/>
            <w:szCs w:val="24"/>
          </w:rPr>
          <w:fldChar w:fldCharType="end"/>
        </w:r>
      </w:hyperlink>
    </w:p>
    <w:p w:rsidR="00CA619C" w:rsidRPr="004A3204" w:rsidRDefault="00CA619C" w:rsidP="00CA619C">
      <w:pPr>
        <w:pStyle w:val="TOC1"/>
        <w:tabs>
          <w:tab w:val="left" w:pos="1680"/>
          <w:tab w:val="right" w:leader="dot" w:pos="8948"/>
        </w:tabs>
        <w:ind w:firstLine="480"/>
        <w:rPr>
          <w:rFonts w:ascii="宋体" w:hAnsi="宋体"/>
          <w:noProof/>
          <w:szCs w:val="24"/>
        </w:rPr>
      </w:pPr>
      <w:hyperlink w:anchor="_Toc392853216" w:history="1">
        <w:r w:rsidRPr="004A3204">
          <w:rPr>
            <w:rStyle w:val="Hyperlink"/>
            <w:rFonts w:ascii="宋体" w:hAnsi="宋体" w:cs="宋体" w:hint="eastAsia"/>
            <w:noProof/>
            <w:sz w:val="24"/>
            <w:szCs w:val="24"/>
          </w:rPr>
          <w:t>图24.</w:t>
        </w:r>
        <w:r w:rsidRPr="004A3204">
          <w:rPr>
            <w:rFonts w:ascii="宋体" w:hAnsi="宋体"/>
            <w:noProof/>
            <w:szCs w:val="24"/>
          </w:rPr>
          <w:tab/>
        </w:r>
        <w:r w:rsidRPr="004A3204">
          <w:rPr>
            <w:rStyle w:val="Hyperlink"/>
            <w:rFonts w:ascii="宋体" w:hAnsi="宋体" w:hint="eastAsia"/>
            <w:noProof/>
            <w:sz w:val="24"/>
            <w:szCs w:val="24"/>
          </w:rPr>
          <w:t>美国劳伦斯伯克利国家实验室</w:t>
        </w:r>
        <w:r w:rsidRPr="004A3204">
          <w:rPr>
            <w:rStyle w:val="Hyperlink"/>
            <w:rFonts w:ascii="宋体" w:hAnsi="宋体"/>
            <w:noProof/>
            <w:sz w:val="24"/>
            <w:szCs w:val="24"/>
          </w:rPr>
          <w:t>2010</w:t>
        </w:r>
        <w:r w:rsidRPr="004A3204">
          <w:rPr>
            <w:rStyle w:val="Hyperlink"/>
            <w:rFonts w:ascii="宋体" w:hAnsi="宋体" w:hint="eastAsia"/>
            <w:noProof/>
            <w:sz w:val="24"/>
            <w:szCs w:val="24"/>
          </w:rPr>
          <w:t>年的资金分配</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_Toc392853216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62</w:t>
        </w:r>
        <w:r w:rsidRPr="004A3204">
          <w:rPr>
            <w:rFonts w:ascii="宋体" w:hAnsi="宋体"/>
            <w:noProof/>
            <w:szCs w:val="24"/>
          </w:rPr>
          <w:fldChar w:fldCharType="end"/>
        </w:r>
      </w:hyperlink>
    </w:p>
    <w:p w:rsidR="00CA619C" w:rsidRPr="004A3204" w:rsidRDefault="00CA619C" w:rsidP="00CA619C">
      <w:pPr>
        <w:pStyle w:val="TOC1"/>
        <w:tabs>
          <w:tab w:val="left" w:pos="1680"/>
          <w:tab w:val="right" w:leader="dot" w:pos="8948"/>
        </w:tabs>
        <w:ind w:firstLine="480"/>
        <w:rPr>
          <w:rFonts w:ascii="宋体" w:hAnsi="宋体"/>
          <w:noProof/>
          <w:szCs w:val="24"/>
        </w:rPr>
      </w:pPr>
      <w:hyperlink w:anchor="_Toc392853217" w:history="1">
        <w:r w:rsidRPr="004A3204">
          <w:rPr>
            <w:rStyle w:val="Hyperlink"/>
            <w:rFonts w:ascii="宋体" w:hAnsi="宋体" w:cs="宋体" w:hint="eastAsia"/>
            <w:noProof/>
            <w:sz w:val="24"/>
            <w:szCs w:val="24"/>
          </w:rPr>
          <w:t>图25.</w:t>
        </w:r>
        <w:r w:rsidRPr="004A3204">
          <w:rPr>
            <w:rFonts w:ascii="宋体" w:hAnsi="宋体"/>
            <w:noProof/>
            <w:szCs w:val="24"/>
          </w:rPr>
          <w:tab/>
        </w:r>
        <w:r w:rsidRPr="004A3204">
          <w:rPr>
            <w:rStyle w:val="Hyperlink"/>
            <w:rFonts w:ascii="宋体" w:hAnsi="宋体" w:hint="eastAsia"/>
            <w:noProof/>
            <w:sz w:val="24"/>
            <w:szCs w:val="24"/>
          </w:rPr>
          <w:t>我国新兴能源产业技术创新支撑体系建设基本设想</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_Toc392853217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90</w:t>
        </w:r>
        <w:r w:rsidRPr="004A3204">
          <w:rPr>
            <w:rFonts w:ascii="宋体" w:hAnsi="宋体"/>
            <w:noProof/>
            <w:szCs w:val="24"/>
          </w:rPr>
          <w:fldChar w:fldCharType="end"/>
        </w:r>
      </w:hyperlink>
    </w:p>
    <w:p w:rsidR="00CA619C" w:rsidRPr="004A3204" w:rsidRDefault="00CA619C" w:rsidP="00CA619C">
      <w:pPr>
        <w:pStyle w:val="TOC1"/>
        <w:tabs>
          <w:tab w:val="left" w:pos="1680"/>
          <w:tab w:val="right" w:leader="dot" w:pos="8948"/>
        </w:tabs>
        <w:ind w:firstLine="480"/>
        <w:rPr>
          <w:rFonts w:ascii="宋体" w:hAnsi="宋体"/>
          <w:noProof/>
          <w:szCs w:val="24"/>
        </w:rPr>
      </w:pPr>
      <w:hyperlink w:anchor="_Toc392853218" w:history="1">
        <w:r w:rsidRPr="004A3204">
          <w:rPr>
            <w:rStyle w:val="Hyperlink"/>
            <w:rFonts w:ascii="宋体" w:hAnsi="宋体" w:cs="宋体" w:hint="eastAsia"/>
            <w:noProof/>
            <w:sz w:val="24"/>
            <w:szCs w:val="24"/>
          </w:rPr>
          <w:t>图26.</w:t>
        </w:r>
        <w:r w:rsidRPr="004A3204">
          <w:rPr>
            <w:rFonts w:ascii="宋体" w:hAnsi="宋体"/>
            <w:noProof/>
            <w:szCs w:val="24"/>
          </w:rPr>
          <w:tab/>
        </w:r>
        <w:r w:rsidRPr="004A3204">
          <w:rPr>
            <w:rStyle w:val="Hyperlink"/>
            <w:rFonts w:ascii="宋体" w:hAnsi="宋体" w:hint="eastAsia"/>
            <w:noProof/>
            <w:sz w:val="24"/>
            <w:szCs w:val="24"/>
          </w:rPr>
          <w:t>我国新兴能源产业技术创新支撑体系的功能要素</w:t>
        </w:r>
        <w:r w:rsidRPr="004A3204">
          <w:rPr>
            <w:rFonts w:ascii="宋体" w:hAnsi="宋体"/>
            <w:noProof/>
            <w:szCs w:val="24"/>
          </w:rPr>
          <w:tab/>
        </w:r>
        <w:r w:rsidRPr="004A3204">
          <w:rPr>
            <w:rFonts w:ascii="宋体" w:hAnsi="宋体"/>
            <w:noProof/>
            <w:szCs w:val="24"/>
          </w:rPr>
          <w:fldChar w:fldCharType="begin"/>
        </w:r>
        <w:r w:rsidRPr="004A3204">
          <w:rPr>
            <w:rFonts w:ascii="宋体" w:hAnsi="宋体"/>
            <w:noProof/>
            <w:szCs w:val="24"/>
          </w:rPr>
          <w:instrText xml:space="preserve"> PAGEREF _Toc392853218 \h </w:instrText>
        </w:r>
        <w:r w:rsidRPr="004A3204">
          <w:rPr>
            <w:rFonts w:ascii="宋体" w:hAnsi="宋体"/>
            <w:noProof/>
            <w:szCs w:val="24"/>
          </w:rPr>
        </w:r>
        <w:r w:rsidRPr="004A3204">
          <w:rPr>
            <w:rFonts w:ascii="宋体" w:hAnsi="宋体"/>
            <w:noProof/>
            <w:szCs w:val="24"/>
          </w:rPr>
          <w:fldChar w:fldCharType="separate"/>
        </w:r>
        <w:r>
          <w:rPr>
            <w:rFonts w:ascii="宋体" w:hAnsi="宋体"/>
            <w:noProof/>
            <w:szCs w:val="24"/>
          </w:rPr>
          <w:t>90</w:t>
        </w:r>
        <w:r w:rsidRPr="004A3204">
          <w:rPr>
            <w:rFonts w:ascii="宋体" w:hAnsi="宋体"/>
            <w:noProof/>
            <w:szCs w:val="24"/>
          </w:rPr>
          <w:fldChar w:fldCharType="end"/>
        </w:r>
      </w:hyperlink>
    </w:p>
    <w:p w:rsidR="00CA619C" w:rsidRPr="004A3204" w:rsidRDefault="00CA619C" w:rsidP="00CA619C">
      <w:pPr>
        <w:pStyle w:val="a0"/>
        <w:ind w:firstLine="480"/>
        <w:rPr>
          <w:rFonts w:ascii="宋体" w:hAnsi="宋体" w:hint="eastAsia"/>
          <w:szCs w:val="24"/>
        </w:rPr>
      </w:pPr>
      <w:r w:rsidRPr="004A3204">
        <w:rPr>
          <w:rFonts w:ascii="宋体" w:hAnsi="宋体" w:hint="eastAsia"/>
          <w:szCs w:val="24"/>
        </w:rPr>
        <w:fldChar w:fldCharType="end"/>
      </w:r>
    </w:p>
    <w:p w:rsidR="00CA619C" w:rsidRDefault="00CA619C" w:rsidP="00CA619C">
      <w:pPr>
        <w:pStyle w:val="Heading1"/>
        <w:numPr>
          <w:ilvl w:val="0"/>
          <w:numId w:val="0"/>
        </w:numPr>
        <w:jc w:val="center"/>
        <w:rPr>
          <w:rFonts w:hint="eastAsia"/>
          <w:lang w:val="zh-CN"/>
        </w:rPr>
      </w:pPr>
      <w:bookmarkStart w:id="3" w:name="_Toc392853100"/>
      <w:r>
        <w:rPr>
          <w:rFonts w:hint="eastAsia"/>
          <w:lang w:val="zh-CN"/>
        </w:rPr>
        <w:t>表目录</w:t>
      </w:r>
      <w:bookmarkEnd w:id="3"/>
    </w:p>
    <w:p w:rsidR="00CA619C" w:rsidRDefault="00CA619C" w:rsidP="00CA619C">
      <w:pPr>
        <w:ind w:firstLine="420"/>
        <w:rPr>
          <w:rFonts w:hint="eastAsia"/>
          <w:lang w:val="zh-CN"/>
        </w:rPr>
      </w:pPr>
    </w:p>
    <w:p w:rsidR="00CA619C" w:rsidRPr="00535D75" w:rsidRDefault="00CA619C" w:rsidP="00CA619C">
      <w:pPr>
        <w:pStyle w:val="TOC1"/>
        <w:tabs>
          <w:tab w:val="left" w:pos="1260"/>
          <w:tab w:val="right" w:leader="dot" w:pos="8948"/>
        </w:tabs>
        <w:ind w:firstLine="519"/>
        <w:rPr>
          <w:noProof/>
          <w:szCs w:val="24"/>
        </w:rPr>
      </w:pPr>
      <w:r w:rsidRPr="00535D75">
        <w:rPr>
          <w:rFonts w:ascii="宋体" w:hAnsi="宋体"/>
          <w:b/>
          <w:szCs w:val="24"/>
        </w:rPr>
        <w:fldChar w:fldCharType="begin"/>
      </w:r>
      <w:r w:rsidRPr="00535D75">
        <w:rPr>
          <w:rFonts w:ascii="宋体" w:hAnsi="宋体"/>
          <w:b/>
          <w:szCs w:val="24"/>
        </w:rPr>
        <w:instrText xml:space="preserve">TOC \f \t "表题,1" \h </w:instrText>
      </w:r>
      <w:r w:rsidRPr="00535D75">
        <w:rPr>
          <w:rFonts w:ascii="宋体" w:hAnsi="宋体"/>
          <w:b/>
          <w:szCs w:val="24"/>
        </w:rPr>
        <w:fldChar w:fldCharType="separate"/>
      </w:r>
      <w:hyperlink w:anchor="_Toc392853321" w:history="1">
        <w:r w:rsidRPr="00535D75">
          <w:rPr>
            <w:rStyle w:val="Hyperlink"/>
            <w:rFonts w:ascii="宋体" w:hAnsi="宋体" w:cs="宋体" w:hint="eastAsia"/>
            <w:noProof/>
            <w:sz w:val="24"/>
            <w:szCs w:val="24"/>
          </w:rPr>
          <w:t>表1.</w:t>
        </w:r>
        <w:r w:rsidRPr="00535D75">
          <w:rPr>
            <w:noProof/>
            <w:szCs w:val="24"/>
          </w:rPr>
          <w:tab/>
        </w:r>
        <w:r w:rsidRPr="00535D75">
          <w:rPr>
            <w:rStyle w:val="Hyperlink"/>
            <w:noProof/>
            <w:sz w:val="24"/>
            <w:szCs w:val="24"/>
          </w:rPr>
          <w:t>2013</w:t>
        </w:r>
        <w:r w:rsidRPr="00535D75">
          <w:rPr>
            <w:rStyle w:val="Hyperlink"/>
            <w:rFonts w:hint="eastAsia"/>
            <w:noProof/>
            <w:sz w:val="24"/>
            <w:szCs w:val="24"/>
          </w:rPr>
          <w:t>年全球累计及新增风电装机排名前十位国家</w:t>
        </w:r>
        <w:r w:rsidRPr="00535D75">
          <w:rPr>
            <w:noProof/>
            <w:szCs w:val="24"/>
          </w:rPr>
          <w:tab/>
        </w:r>
        <w:r w:rsidRPr="00535D75">
          <w:rPr>
            <w:noProof/>
            <w:szCs w:val="24"/>
          </w:rPr>
          <w:fldChar w:fldCharType="begin"/>
        </w:r>
        <w:r w:rsidRPr="00535D75">
          <w:rPr>
            <w:noProof/>
            <w:szCs w:val="24"/>
          </w:rPr>
          <w:instrText xml:space="preserve"> PAGEREF _Toc392853321 \h </w:instrText>
        </w:r>
        <w:r w:rsidRPr="00535D75">
          <w:rPr>
            <w:noProof/>
            <w:szCs w:val="24"/>
          </w:rPr>
        </w:r>
        <w:r w:rsidRPr="00535D75">
          <w:rPr>
            <w:noProof/>
            <w:szCs w:val="24"/>
          </w:rPr>
          <w:fldChar w:fldCharType="separate"/>
        </w:r>
        <w:r>
          <w:rPr>
            <w:noProof/>
            <w:szCs w:val="24"/>
          </w:rPr>
          <w:t>10</w:t>
        </w:r>
        <w:r w:rsidRPr="00535D75">
          <w:rPr>
            <w:noProof/>
            <w:szCs w:val="24"/>
          </w:rPr>
          <w:fldChar w:fldCharType="end"/>
        </w:r>
      </w:hyperlink>
    </w:p>
    <w:p w:rsidR="00CA619C" w:rsidRPr="00535D75" w:rsidRDefault="00CA619C" w:rsidP="00CA619C">
      <w:pPr>
        <w:pStyle w:val="TOC1"/>
        <w:tabs>
          <w:tab w:val="left" w:pos="1260"/>
          <w:tab w:val="right" w:leader="dot" w:pos="8948"/>
        </w:tabs>
        <w:ind w:firstLine="480"/>
        <w:rPr>
          <w:noProof/>
          <w:szCs w:val="24"/>
        </w:rPr>
      </w:pPr>
      <w:hyperlink w:anchor="_Toc392853322" w:history="1">
        <w:r w:rsidRPr="00535D75">
          <w:rPr>
            <w:rStyle w:val="Hyperlink"/>
            <w:rFonts w:ascii="宋体" w:hAnsi="宋体" w:cs="宋体" w:hint="eastAsia"/>
            <w:noProof/>
            <w:sz w:val="24"/>
            <w:szCs w:val="24"/>
          </w:rPr>
          <w:t>表2.</w:t>
        </w:r>
        <w:r w:rsidRPr="00535D75">
          <w:rPr>
            <w:noProof/>
            <w:szCs w:val="24"/>
          </w:rPr>
          <w:tab/>
        </w:r>
        <w:r w:rsidRPr="00535D75">
          <w:rPr>
            <w:rStyle w:val="Hyperlink"/>
            <w:rFonts w:hint="eastAsia"/>
            <w:noProof/>
            <w:sz w:val="24"/>
            <w:szCs w:val="24"/>
          </w:rPr>
          <w:t>美国电网储能装机容量</w:t>
        </w:r>
        <w:r w:rsidRPr="00535D75">
          <w:rPr>
            <w:noProof/>
            <w:szCs w:val="24"/>
          </w:rPr>
          <w:tab/>
        </w:r>
        <w:r w:rsidRPr="00535D75">
          <w:rPr>
            <w:noProof/>
            <w:szCs w:val="24"/>
          </w:rPr>
          <w:fldChar w:fldCharType="begin"/>
        </w:r>
        <w:r w:rsidRPr="00535D75">
          <w:rPr>
            <w:noProof/>
            <w:szCs w:val="24"/>
          </w:rPr>
          <w:instrText xml:space="preserve"> PAGEREF _Toc392853322 \h </w:instrText>
        </w:r>
        <w:r w:rsidRPr="00535D75">
          <w:rPr>
            <w:noProof/>
            <w:szCs w:val="24"/>
          </w:rPr>
        </w:r>
        <w:r w:rsidRPr="00535D75">
          <w:rPr>
            <w:noProof/>
            <w:szCs w:val="24"/>
          </w:rPr>
          <w:fldChar w:fldCharType="separate"/>
        </w:r>
        <w:r>
          <w:rPr>
            <w:noProof/>
            <w:szCs w:val="24"/>
          </w:rPr>
          <w:t>36</w:t>
        </w:r>
        <w:r w:rsidRPr="00535D75">
          <w:rPr>
            <w:noProof/>
            <w:szCs w:val="24"/>
          </w:rPr>
          <w:fldChar w:fldCharType="end"/>
        </w:r>
      </w:hyperlink>
    </w:p>
    <w:p w:rsidR="00CA619C" w:rsidRPr="00535D75" w:rsidRDefault="00CA619C" w:rsidP="00CA619C">
      <w:pPr>
        <w:pStyle w:val="TOC1"/>
        <w:tabs>
          <w:tab w:val="left" w:pos="1260"/>
          <w:tab w:val="right" w:leader="dot" w:pos="8948"/>
        </w:tabs>
        <w:ind w:firstLine="480"/>
        <w:rPr>
          <w:noProof/>
          <w:szCs w:val="24"/>
        </w:rPr>
      </w:pPr>
      <w:hyperlink w:anchor="_Toc392853323" w:history="1">
        <w:r w:rsidRPr="00535D75">
          <w:rPr>
            <w:rStyle w:val="Hyperlink"/>
            <w:rFonts w:ascii="宋体" w:hAnsi="宋体" w:cs="宋体" w:hint="eastAsia"/>
            <w:noProof/>
            <w:sz w:val="24"/>
            <w:szCs w:val="24"/>
          </w:rPr>
          <w:t>表3.</w:t>
        </w:r>
        <w:r w:rsidRPr="00535D75">
          <w:rPr>
            <w:noProof/>
            <w:szCs w:val="24"/>
          </w:rPr>
          <w:tab/>
        </w:r>
        <w:r w:rsidRPr="00535D75">
          <w:rPr>
            <w:rStyle w:val="Hyperlink"/>
            <w:rFonts w:hint="eastAsia"/>
            <w:noProof/>
            <w:sz w:val="24"/>
            <w:szCs w:val="24"/>
          </w:rPr>
          <w:t>第二轮页岩气中标区块工作量统计表</w:t>
        </w:r>
        <w:r w:rsidRPr="00535D75">
          <w:rPr>
            <w:noProof/>
            <w:szCs w:val="24"/>
          </w:rPr>
          <w:tab/>
        </w:r>
        <w:r w:rsidRPr="00535D75">
          <w:rPr>
            <w:noProof/>
            <w:szCs w:val="24"/>
          </w:rPr>
          <w:fldChar w:fldCharType="begin"/>
        </w:r>
        <w:r w:rsidRPr="00535D75">
          <w:rPr>
            <w:noProof/>
            <w:szCs w:val="24"/>
          </w:rPr>
          <w:instrText xml:space="preserve"> PAGEREF _Toc392853323 \h </w:instrText>
        </w:r>
        <w:r w:rsidRPr="00535D75">
          <w:rPr>
            <w:noProof/>
            <w:szCs w:val="24"/>
          </w:rPr>
        </w:r>
        <w:r w:rsidRPr="00535D75">
          <w:rPr>
            <w:noProof/>
            <w:szCs w:val="24"/>
          </w:rPr>
          <w:fldChar w:fldCharType="separate"/>
        </w:r>
        <w:r>
          <w:rPr>
            <w:noProof/>
            <w:szCs w:val="24"/>
          </w:rPr>
          <w:t>46</w:t>
        </w:r>
        <w:r w:rsidRPr="00535D75">
          <w:rPr>
            <w:noProof/>
            <w:szCs w:val="24"/>
          </w:rPr>
          <w:fldChar w:fldCharType="end"/>
        </w:r>
      </w:hyperlink>
    </w:p>
    <w:p w:rsidR="00CA619C" w:rsidRPr="00535D75" w:rsidRDefault="00CA619C" w:rsidP="00CA619C">
      <w:pPr>
        <w:pStyle w:val="TOC1"/>
        <w:tabs>
          <w:tab w:val="left" w:pos="1260"/>
          <w:tab w:val="right" w:leader="dot" w:pos="8948"/>
        </w:tabs>
        <w:ind w:firstLine="480"/>
        <w:rPr>
          <w:noProof/>
          <w:szCs w:val="24"/>
        </w:rPr>
      </w:pPr>
      <w:hyperlink w:anchor="_Toc392853324" w:history="1">
        <w:r w:rsidRPr="00535D75">
          <w:rPr>
            <w:rStyle w:val="Hyperlink"/>
            <w:rFonts w:ascii="宋体" w:hAnsi="宋体" w:cs="宋体" w:hint="eastAsia"/>
            <w:noProof/>
            <w:sz w:val="24"/>
            <w:szCs w:val="24"/>
          </w:rPr>
          <w:t>表4.</w:t>
        </w:r>
        <w:r w:rsidRPr="00535D75">
          <w:rPr>
            <w:noProof/>
            <w:szCs w:val="24"/>
          </w:rPr>
          <w:tab/>
        </w:r>
        <w:r w:rsidRPr="00535D75">
          <w:rPr>
            <w:rStyle w:val="Hyperlink"/>
            <w:rFonts w:hint="eastAsia"/>
            <w:noProof/>
            <w:sz w:val="24"/>
            <w:szCs w:val="24"/>
          </w:rPr>
          <w:t>页岩气勘探开发主要环节关键技术与设备厂商一览</w:t>
        </w:r>
        <w:r w:rsidRPr="00535D75">
          <w:rPr>
            <w:noProof/>
            <w:szCs w:val="24"/>
          </w:rPr>
          <w:tab/>
        </w:r>
        <w:r w:rsidRPr="00535D75">
          <w:rPr>
            <w:noProof/>
            <w:szCs w:val="24"/>
          </w:rPr>
          <w:fldChar w:fldCharType="begin"/>
        </w:r>
        <w:r w:rsidRPr="00535D75">
          <w:rPr>
            <w:noProof/>
            <w:szCs w:val="24"/>
          </w:rPr>
          <w:instrText xml:space="preserve"> PAGEREF _Toc392853324 \h </w:instrText>
        </w:r>
        <w:r w:rsidRPr="00535D75">
          <w:rPr>
            <w:noProof/>
            <w:szCs w:val="24"/>
          </w:rPr>
        </w:r>
        <w:r w:rsidRPr="00535D75">
          <w:rPr>
            <w:noProof/>
            <w:szCs w:val="24"/>
          </w:rPr>
          <w:fldChar w:fldCharType="separate"/>
        </w:r>
        <w:r>
          <w:rPr>
            <w:noProof/>
            <w:szCs w:val="24"/>
          </w:rPr>
          <w:t>49</w:t>
        </w:r>
        <w:r w:rsidRPr="00535D75">
          <w:rPr>
            <w:noProof/>
            <w:szCs w:val="24"/>
          </w:rPr>
          <w:fldChar w:fldCharType="end"/>
        </w:r>
      </w:hyperlink>
    </w:p>
    <w:p w:rsidR="00CA619C" w:rsidRPr="00535D75" w:rsidRDefault="00CA619C" w:rsidP="00CA619C">
      <w:pPr>
        <w:pStyle w:val="TOC1"/>
        <w:tabs>
          <w:tab w:val="left" w:pos="1260"/>
          <w:tab w:val="right" w:leader="dot" w:pos="8948"/>
        </w:tabs>
        <w:ind w:firstLine="480"/>
        <w:rPr>
          <w:noProof/>
          <w:szCs w:val="24"/>
        </w:rPr>
      </w:pPr>
      <w:hyperlink w:anchor="_Toc392853325" w:history="1">
        <w:r w:rsidRPr="00535D75">
          <w:rPr>
            <w:rStyle w:val="Hyperlink"/>
            <w:rFonts w:ascii="宋体" w:hAnsi="宋体" w:cs="宋体" w:hint="eastAsia"/>
            <w:noProof/>
            <w:sz w:val="24"/>
            <w:szCs w:val="24"/>
          </w:rPr>
          <w:t>表5.</w:t>
        </w:r>
        <w:r w:rsidRPr="00535D75">
          <w:rPr>
            <w:noProof/>
            <w:szCs w:val="24"/>
          </w:rPr>
          <w:tab/>
        </w:r>
        <w:r w:rsidRPr="00535D75">
          <w:rPr>
            <w:rStyle w:val="Hyperlink"/>
            <w:rFonts w:hint="eastAsia"/>
            <w:noProof/>
            <w:sz w:val="24"/>
            <w:szCs w:val="24"/>
          </w:rPr>
          <w:t>部分设在美国研究型大学中的国家实验室概况</w:t>
        </w:r>
        <w:r w:rsidRPr="00535D75">
          <w:rPr>
            <w:noProof/>
            <w:szCs w:val="24"/>
          </w:rPr>
          <w:tab/>
        </w:r>
        <w:r w:rsidRPr="00535D75">
          <w:rPr>
            <w:noProof/>
            <w:szCs w:val="24"/>
          </w:rPr>
          <w:fldChar w:fldCharType="begin"/>
        </w:r>
        <w:r w:rsidRPr="00535D75">
          <w:rPr>
            <w:noProof/>
            <w:szCs w:val="24"/>
          </w:rPr>
          <w:instrText xml:space="preserve"> PAGEREF _Toc392853325 \h </w:instrText>
        </w:r>
        <w:r w:rsidRPr="00535D75">
          <w:rPr>
            <w:noProof/>
            <w:szCs w:val="24"/>
          </w:rPr>
        </w:r>
        <w:r w:rsidRPr="00535D75">
          <w:rPr>
            <w:noProof/>
            <w:szCs w:val="24"/>
          </w:rPr>
          <w:fldChar w:fldCharType="separate"/>
        </w:r>
        <w:r>
          <w:rPr>
            <w:noProof/>
            <w:szCs w:val="24"/>
          </w:rPr>
          <w:t>53</w:t>
        </w:r>
        <w:r w:rsidRPr="00535D75">
          <w:rPr>
            <w:noProof/>
            <w:szCs w:val="24"/>
          </w:rPr>
          <w:fldChar w:fldCharType="end"/>
        </w:r>
      </w:hyperlink>
    </w:p>
    <w:p w:rsidR="00CA619C" w:rsidRPr="00535D75" w:rsidRDefault="00CA619C" w:rsidP="00CA619C">
      <w:pPr>
        <w:pStyle w:val="TOC1"/>
        <w:tabs>
          <w:tab w:val="left" w:pos="1260"/>
          <w:tab w:val="right" w:leader="dot" w:pos="8948"/>
        </w:tabs>
        <w:ind w:firstLine="480"/>
        <w:rPr>
          <w:noProof/>
          <w:szCs w:val="24"/>
        </w:rPr>
      </w:pPr>
      <w:hyperlink w:anchor="_Toc392853326" w:history="1">
        <w:r w:rsidRPr="00535D75">
          <w:rPr>
            <w:rStyle w:val="Hyperlink"/>
            <w:rFonts w:ascii="宋体" w:hAnsi="宋体" w:cs="宋体" w:hint="eastAsia"/>
            <w:noProof/>
            <w:sz w:val="24"/>
            <w:szCs w:val="24"/>
          </w:rPr>
          <w:t>表6.</w:t>
        </w:r>
        <w:r w:rsidRPr="00535D75">
          <w:rPr>
            <w:noProof/>
            <w:szCs w:val="24"/>
          </w:rPr>
          <w:tab/>
        </w:r>
        <w:r w:rsidRPr="00535D75">
          <w:rPr>
            <w:rStyle w:val="Hyperlink"/>
            <w:rFonts w:hint="eastAsia"/>
            <w:noProof/>
            <w:sz w:val="24"/>
            <w:szCs w:val="24"/>
          </w:rPr>
          <w:t>美国部分院校</w:t>
        </w:r>
        <w:r w:rsidRPr="00535D75">
          <w:rPr>
            <w:rStyle w:val="Hyperlink"/>
            <w:noProof/>
            <w:sz w:val="24"/>
            <w:szCs w:val="24"/>
          </w:rPr>
          <w:t>/</w:t>
        </w:r>
        <w:r w:rsidRPr="00535D75">
          <w:rPr>
            <w:rStyle w:val="Hyperlink"/>
            <w:rFonts w:hint="eastAsia"/>
            <w:noProof/>
            <w:sz w:val="24"/>
            <w:szCs w:val="24"/>
          </w:rPr>
          <w:t>研究机构进行的储能技术创新</w:t>
        </w:r>
        <w:r w:rsidRPr="00535D75">
          <w:rPr>
            <w:noProof/>
            <w:szCs w:val="24"/>
          </w:rPr>
          <w:tab/>
        </w:r>
        <w:r w:rsidRPr="00535D75">
          <w:rPr>
            <w:noProof/>
            <w:szCs w:val="24"/>
          </w:rPr>
          <w:fldChar w:fldCharType="begin"/>
        </w:r>
        <w:r w:rsidRPr="00535D75">
          <w:rPr>
            <w:noProof/>
            <w:szCs w:val="24"/>
          </w:rPr>
          <w:instrText xml:space="preserve"> PAGEREF _Toc392853326 \h </w:instrText>
        </w:r>
        <w:r w:rsidRPr="00535D75">
          <w:rPr>
            <w:noProof/>
            <w:szCs w:val="24"/>
          </w:rPr>
        </w:r>
        <w:r w:rsidRPr="00535D75">
          <w:rPr>
            <w:noProof/>
            <w:szCs w:val="24"/>
          </w:rPr>
          <w:fldChar w:fldCharType="separate"/>
        </w:r>
        <w:r>
          <w:rPr>
            <w:noProof/>
            <w:szCs w:val="24"/>
          </w:rPr>
          <w:t>55</w:t>
        </w:r>
        <w:r w:rsidRPr="00535D75">
          <w:rPr>
            <w:noProof/>
            <w:szCs w:val="24"/>
          </w:rPr>
          <w:fldChar w:fldCharType="end"/>
        </w:r>
      </w:hyperlink>
    </w:p>
    <w:p w:rsidR="00CA619C" w:rsidRPr="00535D75" w:rsidRDefault="00CA619C" w:rsidP="00CA619C">
      <w:pPr>
        <w:pStyle w:val="TOC1"/>
        <w:tabs>
          <w:tab w:val="left" w:pos="1260"/>
          <w:tab w:val="right" w:leader="dot" w:pos="8948"/>
        </w:tabs>
        <w:ind w:firstLine="480"/>
        <w:rPr>
          <w:noProof/>
          <w:szCs w:val="24"/>
        </w:rPr>
      </w:pPr>
      <w:hyperlink w:anchor="_Toc392853327" w:history="1">
        <w:r w:rsidRPr="00535D75">
          <w:rPr>
            <w:rStyle w:val="Hyperlink"/>
            <w:rFonts w:ascii="宋体" w:hAnsi="宋体" w:cs="宋体" w:hint="eastAsia"/>
            <w:noProof/>
            <w:sz w:val="24"/>
            <w:szCs w:val="24"/>
          </w:rPr>
          <w:t>表7.</w:t>
        </w:r>
        <w:r w:rsidRPr="00535D75">
          <w:rPr>
            <w:noProof/>
            <w:szCs w:val="24"/>
          </w:rPr>
          <w:tab/>
        </w:r>
        <w:r w:rsidRPr="00535D75">
          <w:rPr>
            <w:rStyle w:val="Hyperlink"/>
            <w:rFonts w:hint="eastAsia"/>
            <w:noProof/>
            <w:sz w:val="24"/>
            <w:szCs w:val="24"/>
          </w:rPr>
          <w:t>美国储能研究联合中心科研队伍组成</w:t>
        </w:r>
        <w:r w:rsidRPr="00535D75">
          <w:rPr>
            <w:noProof/>
            <w:szCs w:val="24"/>
          </w:rPr>
          <w:tab/>
        </w:r>
        <w:r w:rsidRPr="00535D75">
          <w:rPr>
            <w:noProof/>
            <w:szCs w:val="24"/>
          </w:rPr>
          <w:fldChar w:fldCharType="begin"/>
        </w:r>
        <w:r w:rsidRPr="00535D75">
          <w:rPr>
            <w:noProof/>
            <w:szCs w:val="24"/>
          </w:rPr>
          <w:instrText xml:space="preserve"> PAGEREF _Toc392853327 \h </w:instrText>
        </w:r>
        <w:r w:rsidRPr="00535D75">
          <w:rPr>
            <w:noProof/>
            <w:szCs w:val="24"/>
          </w:rPr>
        </w:r>
        <w:r w:rsidRPr="00535D75">
          <w:rPr>
            <w:noProof/>
            <w:szCs w:val="24"/>
          </w:rPr>
          <w:fldChar w:fldCharType="separate"/>
        </w:r>
        <w:r>
          <w:rPr>
            <w:noProof/>
            <w:szCs w:val="24"/>
          </w:rPr>
          <w:t>56</w:t>
        </w:r>
        <w:r w:rsidRPr="00535D75">
          <w:rPr>
            <w:noProof/>
            <w:szCs w:val="24"/>
          </w:rPr>
          <w:fldChar w:fldCharType="end"/>
        </w:r>
      </w:hyperlink>
    </w:p>
    <w:p w:rsidR="00CA619C" w:rsidRPr="00535D75" w:rsidRDefault="00CA619C" w:rsidP="00CA619C">
      <w:pPr>
        <w:pStyle w:val="TOC1"/>
        <w:tabs>
          <w:tab w:val="left" w:pos="1260"/>
          <w:tab w:val="right" w:leader="dot" w:pos="8948"/>
        </w:tabs>
        <w:ind w:firstLine="480"/>
        <w:rPr>
          <w:noProof/>
          <w:szCs w:val="24"/>
        </w:rPr>
      </w:pPr>
      <w:hyperlink w:anchor="_Toc392853328" w:history="1">
        <w:r w:rsidRPr="00535D75">
          <w:rPr>
            <w:rStyle w:val="Hyperlink"/>
            <w:rFonts w:ascii="宋体" w:hAnsi="宋体" w:cs="宋体" w:hint="eastAsia"/>
            <w:noProof/>
            <w:sz w:val="24"/>
            <w:szCs w:val="24"/>
          </w:rPr>
          <w:t>表8.</w:t>
        </w:r>
        <w:r w:rsidRPr="00535D75">
          <w:rPr>
            <w:noProof/>
            <w:szCs w:val="24"/>
          </w:rPr>
          <w:tab/>
        </w:r>
        <w:r w:rsidRPr="00535D75">
          <w:rPr>
            <w:rStyle w:val="Hyperlink"/>
            <w:rFonts w:hint="eastAsia"/>
            <w:noProof/>
            <w:sz w:val="24"/>
            <w:szCs w:val="24"/>
          </w:rPr>
          <w:t>纽约州政府通过行业协会资助的储能技术创新活动</w:t>
        </w:r>
        <w:r w:rsidRPr="00535D75">
          <w:rPr>
            <w:noProof/>
            <w:szCs w:val="24"/>
          </w:rPr>
          <w:tab/>
        </w:r>
        <w:r w:rsidRPr="00535D75">
          <w:rPr>
            <w:noProof/>
            <w:szCs w:val="24"/>
          </w:rPr>
          <w:fldChar w:fldCharType="begin"/>
        </w:r>
        <w:r w:rsidRPr="00535D75">
          <w:rPr>
            <w:noProof/>
            <w:szCs w:val="24"/>
          </w:rPr>
          <w:instrText xml:space="preserve"> PAGEREF _Toc392853328 \h </w:instrText>
        </w:r>
        <w:r w:rsidRPr="00535D75">
          <w:rPr>
            <w:noProof/>
            <w:szCs w:val="24"/>
          </w:rPr>
        </w:r>
        <w:r w:rsidRPr="00535D75">
          <w:rPr>
            <w:noProof/>
            <w:szCs w:val="24"/>
          </w:rPr>
          <w:fldChar w:fldCharType="separate"/>
        </w:r>
        <w:r>
          <w:rPr>
            <w:noProof/>
            <w:szCs w:val="24"/>
          </w:rPr>
          <w:t>65</w:t>
        </w:r>
        <w:r w:rsidRPr="00535D75">
          <w:rPr>
            <w:noProof/>
            <w:szCs w:val="24"/>
          </w:rPr>
          <w:fldChar w:fldCharType="end"/>
        </w:r>
      </w:hyperlink>
    </w:p>
    <w:p w:rsidR="00CA619C" w:rsidRPr="00535D75" w:rsidRDefault="00CA619C" w:rsidP="00CA619C">
      <w:pPr>
        <w:pStyle w:val="TOC1"/>
        <w:tabs>
          <w:tab w:val="left" w:pos="1260"/>
          <w:tab w:val="right" w:leader="dot" w:pos="8948"/>
        </w:tabs>
        <w:ind w:firstLine="480"/>
        <w:rPr>
          <w:noProof/>
          <w:szCs w:val="24"/>
        </w:rPr>
      </w:pPr>
      <w:hyperlink w:anchor="_Toc392853329" w:history="1">
        <w:r w:rsidRPr="00535D75">
          <w:rPr>
            <w:rStyle w:val="Hyperlink"/>
            <w:rFonts w:ascii="宋体" w:hAnsi="宋体" w:cs="宋体" w:hint="eastAsia"/>
            <w:noProof/>
            <w:sz w:val="24"/>
            <w:szCs w:val="24"/>
          </w:rPr>
          <w:t>表9.</w:t>
        </w:r>
        <w:r w:rsidRPr="00535D75">
          <w:rPr>
            <w:noProof/>
            <w:szCs w:val="24"/>
          </w:rPr>
          <w:tab/>
        </w:r>
        <w:r w:rsidRPr="00535D75">
          <w:rPr>
            <w:rStyle w:val="Hyperlink"/>
            <w:rFonts w:hint="eastAsia"/>
            <w:noProof/>
            <w:sz w:val="24"/>
            <w:szCs w:val="24"/>
          </w:rPr>
          <w:t>“美国复苏与再投资法案”预算内支出</w:t>
        </w:r>
        <w:r w:rsidRPr="00535D75">
          <w:rPr>
            <w:noProof/>
            <w:szCs w:val="24"/>
          </w:rPr>
          <w:tab/>
        </w:r>
        <w:r w:rsidRPr="00535D75">
          <w:rPr>
            <w:noProof/>
            <w:szCs w:val="24"/>
          </w:rPr>
          <w:fldChar w:fldCharType="begin"/>
        </w:r>
        <w:r w:rsidRPr="00535D75">
          <w:rPr>
            <w:noProof/>
            <w:szCs w:val="24"/>
          </w:rPr>
          <w:instrText xml:space="preserve"> PAGEREF _Toc392853329 \h </w:instrText>
        </w:r>
        <w:r w:rsidRPr="00535D75">
          <w:rPr>
            <w:noProof/>
            <w:szCs w:val="24"/>
          </w:rPr>
        </w:r>
        <w:r w:rsidRPr="00535D75">
          <w:rPr>
            <w:noProof/>
            <w:szCs w:val="24"/>
          </w:rPr>
          <w:fldChar w:fldCharType="separate"/>
        </w:r>
        <w:r>
          <w:rPr>
            <w:noProof/>
            <w:szCs w:val="24"/>
          </w:rPr>
          <w:t>72</w:t>
        </w:r>
        <w:r w:rsidRPr="00535D75">
          <w:rPr>
            <w:noProof/>
            <w:szCs w:val="24"/>
          </w:rPr>
          <w:fldChar w:fldCharType="end"/>
        </w:r>
      </w:hyperlink>
    </w:p>
    <w:p w:rsidR="00CA619C" w:rsidRDefault="00CA619C" w:rsidP="00CA619C">
      <w:pPr>
        <w:rPr>
          <w:rFonts w:ascii="宋体" w:hAnsi="宋体"/>
          <w:b/>
        </w:rPr>
        <w:sectPr w:rsidR="00CA619C">
          <w:pgSz w:w="11906" w:h="16838"/>
          <w:pgMar w:top="1361" w:right="1474" w:bottom="1361" w:left="1474" w:header="851" w:footer="567" w:gutter="0"/>
          <w:pgNumType w:fmt="upperRoman"/>
          <w:cols w:space="720"/>
          <w:docGrid w:type="linesAndChars" w:linePitch="312"/>
        </w:sectPr>
      </w:pPr>
      <w:r w:rsidRPr="00535D75">
        <w:rPr>
          <w:rFonts w:ascii="宋体" w:hAnsi="宋体"/>
          <w:szCs w:val="24"/>
        </w:rPr>
        <w:fldChar w:fldCharType="end"/>
      </w:r>
    </w:p>
    <w:p w:rsidR="00CA619C" w:rsidRDefault="00CA619C" w:rsidP="00CA619C">
      <w:pPr>
        <w:ind w:firstLine="519"/>
        <w:jc w:val="center"/>
        <w:rPr>
          <w:rFonts w:ascii="宋体" w:hAnsi="宋体" w:hint="eastAsia"/>
          <w:b/>
        </w:rPr>
      </w:pPr>
    </w:p>
    <w:p w:rsidR="00CA619C" w:rsidRDefault="00CA619C" w:rsidP="00CA619C">
      <w:pPr>
        <w:pStyle w:val="Heading1"/>
        <w:numPr>
          <w:ilvl w:val="0"/>
          <w:numId w:val="0"/>
        </w:numPr>
        <w:tabs>
          <w:tab w:val="left" w:pos="432"/>
        </w:tabs>
        <w:jc w:val="center"/>
        <w:rPr>
          <w:rFonts w:hint="eastAsia"/>
        </w:rPr>
      </w:pPr>
      <w:bookmarkStart w:id="4" w:name="_Toc392853101"/>
      <w:r>
        <w:rPr>
          <w:rFonts w:hint="eastAsia"/>
        </w:rPr>
        <w:t>前</w:t>
      </w:r>
      <w:r>
        <w:rPr>
          <w:rFonts w:hint="eastAsia"/>
        </w:rPr>
        <w:t xml:space="preserve">  </w:t>
      </w:r>
      <w:r>
        <w:rPr>
          <w:rFonts w:hint="eastAsia"/>
        </w:rPr>
        <w:t>言</w:t>
      </w:r>
      <w:bookmarkEnd w:id="4"/>
    </w:p>
    <w:p w:rsidR="00CA619C" w:rsidRDefault="00CA619C" w:rsidP="00CA619C">
      <w:pPr>
        <w:ind w:firstLine="480"/>
        <w:rPr>
          <w:rFonts w:hint="eastAsia"/>
        </w:rPr>
      </w:pPr>
    </w:p>
    <w:p w:rsidR="00CA619C" w:rsidRDefault="00CA619C" w:rsidP="00CA619C">
      <w:pPr>
        <w:ind w:firstLine="480"/>
        <w:jc w:val="left"/>
        <w:rPr>
          <w:rFonts w:hint="eastAsia"/>
        </w:rPr>
      </w:pPr>
      <w:r>
        <w:rPr>
          <w:rFonts w:hint="eastAsia"/>
        </w:rPr>
        <w:t>能源是社会经济发展的重要物质基础，我国已经成为世界能源生产和消费大国，能源产业发展也取得了巨大的成就。但是，我国经济发展仍旧面临着长期的能源问题：人均能源占有量比较少，不到世界人均水平的一半；能源生产和消费结构都以煤炭为主，煤炭约占到一次能源消费总量</w:t>
      </w:r>
      <w:r>
        <w:t>75</w:t>
      </w:r>
      <w:r>
        <w:rPr>
          <w:rFonts w:hint="eastAsia"/>
        </w:rPr>
        <w:t>％，大量使用煤炭带来的二氧化碳、二氧化硫和烟尘排放造成极大的环境压力；能源利用效率低下，约为</w:t>
      </w:r>
      <w:r>
        <w:t>30</w:t>
      </w:r>
      <w:r>
        <w:rPr>
          <w:rFonts w:hint="eastAsia"/>
        </w:rPr>
        <w:t>％，比发达国家平均水平低将近</w:t>
      </w:r>
      <w:r>
        <w:t>lO</w:t>
      </w:r>
      <w:r>
        <w:rPr>
          <w:rFonts w:hint="eastAsia"/>
        </w:rPr>
        <w:t>个百分点，主要用能产品的单位能耗比发达国家平均高</w:t>
      </w:r>
      <w:r>
        <w:t>40</w:t>
      </w:r>
      <w:r>
        <w:rPr>
          <w:rFonts w:hint="eastAsia"/>
        </w:rPr>
        <w:t>％左右。</w:t>
      </w:r>
    </w:p>
    <w:p w:rsidR="00CA619C" w:rsidRDefault="00CA619C" w:rsidP="00CA619C">
      <w:pPr>
        <w:ind w:firstLine="480"/>
        <w:jc w:val="left"/>
        <w:rPr>
          <w:rFonts w:hint="eastAsia"/>
        </w:rPr>
      </w:pPr>
      <w:r>
        <w:rPr>
          <w:rFonts w:hint="eastAsia"/>
        </w:rPr>
        <w:t>要消除这些问题对于我国经济可持续发展的制约，最现实和最有效的途径是能源技术的进步和创新，而拥有良好的能源产业技术创新体系及支撑环境对促进能源技术进步与技术创新至关重要。</w:t>
      </w:r>
    </w:p>
    <w:p w:rsidR="00CA619C" w:rsidRDefault="00CA619C" w:rsidP="00CA619C">
      <w:pPr>
        <w:ind w:firstLine="480"/>
        <w:jc w:val="left"/>
        <w:rPr>
          <w:rFonts w:hint="eastAsia"/>
        </w:rPr>
      </w:pPr>
      <w:r>
        <w:rPr>
          <w:rFonts w:hint="eastAsia"/>
        </w:rPr>
        <w:t>目前，人类提到的能源产业范围较广，包括一切能提供能源供给，且未来能满足一定规模能源需求的能源生产与供应，包括煤炭石油、天然气、水能、风能、太阳能、生物质能等等，可见能源产业包含的子行业非常众多。当然，随着人类认识的进步和发展，每一次能源技术的进步、创新及变革都会带来能源产品种类的丰富或者能源使用方式的革新，且不同能源子行业对技术的要求与技术进步的依赖程度，以及技术创新能力的需求也有较大差别。</w:t>
      </w:r>
    </w:p>
    <w:p w:rsidR="00CA619C" w:rsidRDefault="00CA619C" w:rsidP="00CA619C">
      <w:pPr>
        <w:ind w:firstLine="480"/>
        <w:jc w:val="left"/>
        <w:rPr>
          <w:rFonts w:hint="eastAsia"/>
        </w:rPr>
      </w:pPr>
      <w:r>
        <w:rPr>
          <w:rFonts w:hint="eastAsia"/>
        </w:rPr>
        <w:t>结合本课题研究，我们将能源产业划分主要归纳为两类：一类是包括煤炭、石油天然气、水电、核电及能源输送系统（主要包括油气管网与电网等基础设施）等在内的传统能源产业；一类是随着新技术的出现与应用，以及能源利用方式的改变与提升而出现的新兴能源产业，如：煤炭的清洁利用与煤基清洁生产，大规模风电与太阳能光伏发电等可再生能源，支撑智能电网发展与辅助电网调峰的储能产业，以及资源量非常丰富的煤层气和页岩气等非常规天然气产业。</w:t>
      </w:r>
    </w:p>
    <w:p w:rsidR="00CA619C" w:rsidRDefault="00CA619C" w:rsidP="00CA619C">
      <w:pPr>
        <w:ind w:firstLine="480"/>
        <w:jc w:val="left"/>
        <w:rPr>
          <w:rFonts w:hint="eastAsia"/>
        </w:rPr>
      </w:pPr>
      <w:r>
        <w:rPr>
          <w:rFonts w:hint="eastAsia"/>
        </w:rPr>
        <w:t>相比较传统能源产业，新兴能源产业普遍对能源技术进步与技术创新的要求和依赖程度较高，新兴能源产业在技术上的进步、创新及突破能极大的推进本产业的快速发展与经济价值实现，这在美国和欧洲等国家新兴能源产业的发展历程中已经得到较好的论证和体现。研究我国新兴能源产业的技术创新及其支撑体系建设也能较好地反映我国整个能源产业技术创新的现状及存在的问题，这对构建未来我国能源产业技术创新支撑体系意义重大。</w:t>
      </w:r>
    </w:p>
    <w:p w:rsidR="00CA619C" w:rsidRDefault="00CA619C" w:rsidP="00CA619C">
      <w:pPr>
        <w:ind w:firstLine="480"/>
        <w:jc w:val="left"/>
        <w:rPr>
          <w:rFonts w:hint="eastAsia"/>
        </w:rPr>
        <w:sectPr w:rsidR="00CA619C">
          <w:footerReference w:type="default" r:id="rId17"/>
          <w:pgSz w:w="11906" w:h="16838"/>
          <w:pgMar w:top="1361" w:right="1474" w:bottom="1361" w:left="1474" w:header="851" w:footer="567" w:gutter="0"/>
          <w:pgNumType w:start="1"/>
          <w:cols w:space="720"/>
          <w:docGrid w:type="linesAndChars" w:linePitch="312"/>
        </w:sectPr>
      </w:pPr>
      <w:r>
        <w:rPr>
          <w:rFonts w:hint="eastAsia"/>
        </w:rPr>
        <w:t xml:space="preserve"> </w:t>
      </w:r>
      <w:r>
        <w:rPr>
          <w:rFonts w:hint="eastAsia"/>
        </w:rPr>
        <w:t>为使本课题研究内容更加聚焦，我们将本课题研究的能源产业范围重点锁定在新兴能源产业领域，重点围绕风电、太阳能光伏、储能，以及页岩气这四个新兴能源产业展开研究。事实上，这几个能源产业大多是近年来我国提出的国家战略性新兴产业</w:t>
      </w:r>
      <w:r>
        <w:rPr>
          <w:rStyle w:val="FootnoteReference"/>
          <w:rFonts w:ascii="宋体" w:hAnsi="宋体"/>
        </w:rPr>
        <w:footnoteReference w:id="1"/>
      </w:r>
      <w:r>
        <w:rPr>
          <w:rFonts w:hint="eastAsia"/>
        </w:rPr>
        <w:t>的重要组成部分，也是当前我国优化能源消费结构、转变经济增长方式、推进节能减排的现实选择，其必将成为未来我国能源供应的重要组成部分，前景广阔。</w:t>
      </w:r>
    </w:p>
    <w:p w:rsidR="00CA619C" w:rsidRDefault="00CA619C" w:rsidP="00CA619C">
      <w:pPr>
        <w:pStyle w:val="Heading1"/>
        <w:rPr>
          <w:rFonts w:hint="eastAsia"/>
        </w:rPr>
      </w:pPr>
      <w:bookmarkStart w:id="5" w:name="_Toc392853102"/>
      <w:r>
        <w:rPr>
          <w:rFonts w:hint="eastAsia"/>
        </w:rPr>
        <w:t>新兴能源产业特征</w:t>
      </w:r>
      <w:bookmarkEnd w:id="5"/>
    </w:p>
    <w:p w:rsidR="00CA619C" w:rsidRDefault="00CA619C" w:rsidP="00CA619C">
      <w:pPr>
        <w:pStyle w:val="Heading2"/>
        <w:rPr>
          <w:rFonts w:hint="eastAsia"/>
        </w:rPr>
      </w:pPr>
      <w:bookmarkStart w:id="6" w:name="_Toc392853103"/>
      <w:r>
        <w:rPr>
          <w:rFonts w:hint="eastAsia"/>
        </w:rPr>
        <w:t>高技术、高资本密集，高度依赖技术创新及技术进步</w:t>
      </w:r>
      <w:bookmarkEnd w:id="6"/>
    </w:p>
    <w:p w:rsidR="00CA619C" w:rsidRDefault="00CA619C" w:rsidP="00CA619C">
      <w:pPr>
        <w:ind w:firstLine="480"/>
        <w:rPr>
          <w:rFonts w:hint="eastAsia"/>
        </w:rPr>
      </w:pPr>
      <w:r>
        <w:rPr>
          <w:rFonts w:hint="eastAsia"/>
        </w:rPr>
        <w:t>新兴能源产业是典型的高技术和高资本密集型产业，新兴能源产业的发展对技术进步及技术创新的依赖性非常强。每一次技术上的重大突破都可能对整个新兴能源产业起到非常关键性的推动作用，这包括促使技术应用的成本经济可行性。</w:t>
      </w:r>
    </w:p>
    <w:p w:rsidR="00CA619C" w:rsidRDefault="00CA619C" w:rsidP="00CA619C">
      <w:pPr>
        <w:ind w:firstLine="480"/>
        <w:rPr>
          <w:rFonts w:hint="eastAsia"/>
        </w:rPr>
      </w:pPr>
      <w:r>
        <w:rPr>
          <w:rFonts w:hint="eastAsia"/>
        </w:rPr>
        <w:t>一般来说，谁能取得技术上的突破，谁就能在新兴能源领域取得领先一步。这在近年来美国轰轰烈烈的页岩气勘探开发中体现的尤为突出，美国页岩气成功开发从根本上来讲就是由于美国最先在水平钻井技术和压裂增产技术的综合应用方面取得重大突破，才实现页岩气的规模化量产和商业化利用。</w:t>
      </w:r>
      <w:r>
        <w:rPr>
          <w:rFonts w:hint="eastAsia"/>
        </w:rPr>
        <w:t>2002</w:t>
      </w:r>
      <w:r>
        <w:rPr>
          <w:rFonts w:hint="eastAsia"/>
        </w:rPr>
        <w:t>年以前，垂直井是美国页岩气开发主要的钻井方式，随着</w:t>
      </w:r>
      <w:r>
        <w:rPr>
          <w:rFonts w:hint="eastAsia"/>
        </w:rPr>
        <w:t>2002</w:t>
      </w:r>
      <w:r>
        <w:rPr>
          <w:rFonts w:hint="eastAsia"/>
        </w:rPr>
        <w:t>年戴文能源公司七口巴纳特页岩气试验水平井取得了巨大成功，业界才开始大力推广水平钻井，并逐渐成为页岩气开发的主要钻井方式。巴纳特页岩最成功的直井在</w:t>
      </w:r>
      <w:r>
        <w:rPr>
          <w:rFonts w:hint="eastAsia"/>
        </w:rPr>
        <w:t>2006</w:t>
      </w:r>
      <w:r>
        <w:rPr>
          <w:rFonts w:hint="eastAsia"/>
        </w:rPr>
        <w:t>年上半年的累积产量为</w:t>
      </w:r>
      <w:r>
        <w:rPr>
          <w:rFonts w:hint="eastAsia"/>
        </w:rPr>
        <w:t>990</w:t>
      </w:r>
      <w:r>
        <w:rPr>
          <w:rFonts w:hint="eastAsia"/>
        </w:rPr>
        <w:t>万立方米，而同期表现最好的水平井的产量为</w:t>
      </w:r>
      <w:r>
        <w:rPr>
          <w:rFonts w:hint="eastAsia"/>
        </w:rPr>
        <w:t>2830</w:t>
      </w:r>
      <w:r>
        <w:rPr>
          <w:rFonts w:hint="eastAsia"/>
        </w:rPr>
        <w:t>万立方米，为直井的三倍。加上随后水力压裂、同步压裂、重复压裂在水平井中的应用，单井产量得到大幅上升，最终使页岩气开采实现经济性基础。页岩气开采技术上的突破，改变了美国天然气行业乃至美国整个能源行业的格局，使美国能源对外依存度下降明显。根据美国能源署（</w:t>
      </w:r>
      <w:r>
        <w:rPr>
          <w:rFonts w:hint="eastAsia"/>
        </w:rPr>
        <w:t>EIA</w:t>
      </w:r>
      <w:r>
        <w:rPr>
          <w:rFonts w:hint="eastAsia"/>
        </w:rPr>
        <w:t>）统计，</w:t>
      </w:r>
      <w:r>
        <w:rPr>
          <w:rFonts w:hint="eastAsia"/>
        </w:rPr>
        <w:t>2005</w:t>
      </w:r>
      <w:r>
        <w:rPr>
          <w:rFonts w:hint="eastAsia"/>
        </w:rPr>
        <w:t>年至</w:t>
      </w:r>
      <w:r>
        <w:rPr>
          <w:rFonts w:hint="eastAsia"/>
        </w:rPr>
        <w:t>2011</w:t>
      </w:r>
      <w:r>
        <w:rPr>
          <w:rFonts w:hint="eastAsia"/>
        </w:rPr>
        <w:t>年，美国石油对外依存度从</w:t>
      </w:r>
      <w:r>
        <w:rPr>
          <w:rFonts w:hint="eastAsia"/>
        </w:rPr>
        <w:t>66.371%</w:t>
      </w:r>
      <w:r>
        <w:rPr>
          <w:rFonts w:hint="eastAsia"/>
        </w:rPr>
        <w:t>下降至</w:t>
      </w:r>
      <w:r>
        <w:rPr>
          <w:rFonts w:hint="eastAsia"/>
        </w:rPr>
        <w:t>52.69%</w:t>
      </w:r>
      <w:r>
        <w:rPr>
          <w:rFonts w:hint="eastAsia"/>
        </w:rPr>
        <w:t>，天然气对外依存度从</w:t>
      </w:r>
      <w:r>
        <w:rPr>
          <w:rFonts w:hint="eastAsia"/>
        </w:rPr>
        <w:t>16.46%</w:t>
      </w:r>
      <w:r>
        <w:rPr>
          <w:rFonts w:hint="eastAsia"/>
        </w:rPr>
        <w:t>下降至</w:t>
      </w:r>
      <w:r>
        <w:rPr>
          <w:rFonts w:hint="eastAsia"/>
        </w:rPr>
        <w:t>8.13%</w:t>
      </w:r>
      <w:r>
        <w:rPr>
          <w:rFonts w:hint="eastAsia"/>
        </w:rPr>
        <w:t>，能源对外依存度从</w:t>
      </w:r>
      <w:r>
        <w:rPr>
          <w:rFonts w:hint="eastAsia"/>
        </w:rPr>
        <w:t>30.06%</w:t>
      </w:r>
      <w:r>
        <w:rPr>
          <w:rFonts w:hint="eastAsia"/>
        </w:rPr>
        <w:t>下降至</w:t>
      </w:r>
      <w:r>
        <w:rPr>
          <w:rFonts w:hint="eastAsia"/>
        </w:rPr>
        <w:t>18.74%</w:t>
      </w:r>
      <w:r>
        <w:rPr>
          <w:rFonts w:hint="eastAsia"/>
        </w:rPr>
        <w:t>。</w:t>
      </w:r>
    </w:p>
    <w:p w:rsidR="00CA619C" w:rsidRDefault="00CA619C" w:rsidP="00CA619C">
      <w:pPr>
        <w:ind w:firstLine="519"/>
        <w:rPr>
          <w:rFonts w:hint="eastAsia"/>
        </w:rPr>
      </w:pPr>
      <w:r>
        <w:rPr>
          <w:rFonts w:hint="eastAsia"/>
          <w:b/>
        </w:rPr>
        <w:t>同时，新兴能源产业还是一个典型的跨学科领域，诸多交叉技术被应用在新能源领域，且广泛的交叉技术在该领域也是最容易能得到实现和拓展的，这就使得新兴能源产业的技术创新也非常活跃。</w:t>
      </w:r>
      <w:r>
        <w:rPr>
          <w:rFonts w:hint="eastAsia"/>
        </w:rPr>
        <w:t>这一特征在世界风能、光能、储能，以及页岩气等新兴能源领域均展现出来。例如，大规模风电的发展，促使现代</w:t>
      </w:r>
      <w:r>
        <w:rPr>
          <w:rFonts w:hint="eastAsia"/>
        </w:rPr>
        <w:t>IT</w:t>
      </w:r>
      <w:r>
        <w:rPr>
          <w:rFonts w:hint="eastAsia"/>
        </w:rPr>
        <w:t>技术、信息技术、材料科学，以及分布式能源和微网技术与智能电网技术等都被应用到电力工业中。在太阳能光伏及光热利用方面，光伏技术的发展，除了信息技术、电网技术、工艺制造，还涉及诸多材料学技术，如多晶硅材料的生产提纯，银浆、银铝浆材料、</w:t>
      </w:r>
      <w:r>
        <w:rPr>
          <w:rFonts w:hint="eastAsia"/>
        </w:rPr>
        <w:t>TPT</w:t>
      </w:r>
      <w:r>
        <w:rPr>
          <w:rFonts w:hint="eastAsia"/>
        </w:rPr>
        <w:t>背板材料、</w:t>
      </w:r>
      <w:r>
        <w:rPr>
          <w:rFonts w:hint="eastAsia"/>
        </w:rPr>
        <w:t>EVA</w:t>
      </w:r>
      <w:r>
        <w:rPr>
          <w:rFonts w:hint="eastAsia"/>
        </w:rPr>
        <w:t>封装材料制备等。新一代储能技术的发展更是需要纳米级材料的应用和化学方面的无数次试验和实验。当然，最新发展起来的页岩气勘探开发涉及的新技术主要有微地震压裂检测技术、水平井钻井技术、欠平衡钻井技术、射孔优化技术、压裂增产技术、废水处理或重复利用技术、超临界二氧化碳开采页岩气技术等，且页岩气勘探开发技术要比常规油气领域的技术更加复杂，更加宽泛，如气流阻力比常规天然气大，所有的井都需要实施储层压裂改造才能正常开采，还需要水平井与现代水力压裂技术的结合等。</w:t>
      </w:r>
    </w:p>
    <w:p w:rsidR="00CA619C" w:rsidRDefault="00CA619C" w:rsidP="00CA619C">
      <w:pPr>
        <w:pStyle w:val="Heading2"/>
        <w:rPr>
          <w:rFonts w:hint="eastAsia"/>
        </w:rPr>
      </w:pPr>
      <w:bookmarkStart w:id="7" w:name="_Toc392853104"/>
      <w:r>
        <w:rPr>
          <w:rFonts w:hint="eastAsia"/>
        </w:rPr>
        <w:t>具有高增长性，对经济增长具有很大的拉动作用</w:t>
      </w:r>
      <w:bookmarkEnd w:id="7"/>
    </w:p>
    <w:p w:rsidR="00CA619C" w:rsidRDefault="00CA619C" w:rsidP="00CA619C">
      <w:pPr>
        <w:ind w:firstLine="480"/>
        <w:rPr>
          <w:rFonts w:hint="eastAsia"/>
        </w:rPr>
      </w:pPr>
      <w:r>
        <w:rPr>
          <w:rFonts w:hint="eastAsia"/>
        </w:rPr>
        <w:t>在高度重视发展传统优势产业的同时，培育和发展新兴产业对提升国家竞争力、形成未来经济增长支柱有着非常重要的作用。</w:t>
      </w:r>
    </w:p>
    <w:p w:rsidR="00CA619C" w:rsidRDefault="00CA619C" w:rsidP="00CA619C">
      <w:pPr>
        <w:ind w:firstLine="480"/>
        <w:rPr>
          <w:rFonts w:ascii="宋体" w:hAnsi="宋体" w:hint="eastAsia"/>
        </w:rPr>
      </w:pPr>
      <w:r>
        <w:rPr>
          <w:rFonts w:ascii="宋体" w:hAnsi="宋体" w:hint="eastAsia"/>
        </w:rPr>
        <w:t>新能源产业关联度高，影响范围深远。新能源产业的发展不仅仅局限于能源调整的层面，而具有更为深刻的现实意义。新能源具有高度的产业关联性，通过新能源领域的研发和推广，不仅能够促进信息产业、汽车制造业和生物产业等领域的深刻变革，也能够极大地扩大内需，扭转美国在国际贸易中的不利地位，将进口转移为国内生产，刺激内生经济的复兴和持续发展。</w:t>
      </w:r>
    </w:p>
    <w:p w:rsidR="00CA619C" w:rsidRDefault="00CA619C" w:rsidP="00CA619C">
      <w:pPr>
        <w:ind w:firstLine="480"/>
        <w:rPr>
          <w:rFonts w:ascii="宋体" w:hAnsi="宋体" w:hint="eastAsia"/>
        </w:rPr>
      </w:pPr>
      <w:r>
        <w:rPr>
          <w:rFonts w:ascii="宋体" w:hAnsi="宋体" w:hint="eastAsia"/>
        </w:rPr>
        <w:t>新兴能源产业也是一个增长很快的产业，这对经济增长具有很大的拉动作用。新能源的研发、产业化能够吸引大量的投资，而系统的安装、营运、维护需要大量人力，是一个既能吸收大量投资又能创造大量就业的行业。新兴能源产业具有能源和工业两方面因素。作为能源因素，新兴能源大多是清洁能源，对于解决能源安全问题和环境气候问题都大有益处；作为工业因素考虑，新兴能源产业的发展能够带动原材料生产、装备制造等一系列工业生产，是新的经济增长点。因此，很多国家都非常重视新兴能源产业的发展。</w:t>
      </w:r>
    </w:p>
    <w:p w:rsidR="00CA619C" w:rsidRDefault="00CA619C" w:rsidP="00CA619C">
      <w:pPr>
        <w:ind w:firstLine="480"/>
        <w:rPr>
          <w:rFonts w:ascii="宋体" w:hAnsi="宋体" w:hint="eastAsia"/>
        </w:rPr>
      </w:pPr>
      <w:r>
        <w:rPr>
          <w:rFonts w:ascii="宋体" w:hAnsi="宋体" w:hint="eastAsia"/>
        </w:rPr>
        <w:t>例如美国，2009年，奥巴马上台后，一改布什政府的能源政策，宣布了</w:t>
      </w:r>
      <w:r>
        <w:rPr>
          <w:rFonts w:ascii="宋体" w:hAnsi="宋体"/>
        </w:rPr>
        <w:t>“经济刺激一揽子计划”(Stimulus Package)</w:t>
      </w:r>
      <w:r>
        <w:rPr>
          <w:rFonts w:ascii="宋体" w:hAnsi="宋体" w:hint="eastAsia"/>
        </w:rPr>
        <w:t>，其中很重要的一项就是在未来10 年向清洁能源领域投资1500 亿美元，以帮助创造500 万个新的就业岗位，并使可再生能源发电比例在2012年达到10%，在2025 年达到25%。奥巴马以新能源振兴美国经济的着眼点有三点：一是创造就业，拉动经济进入新的增长周期；二是降低能源对外依存度，寻求国家能源安全；三是减少温室气体排放，改善环境。</w:t>
      </w:r>
    </w:p>
    <w:p w:rsidR="00CA619C" w:rsidRDefault="00CA619C" w:rsidP="00CA619C">
      <w:pPr>
        <w:ind w:firstLine="480"/>
        <w:rPr>
          <w:rFonts w:ascii="宋体" w:hAnsi="宋体" w:hint="eastAsia"/>
        </w:rPr>
      </w:pPr>
      <w:r>
        <w:rPr>
          <w:rFonts w:ascii="宋体" w:hAnsi="宋体" w:hint="eastAsia"/>
        </w:rPr>
        <w:t>在一系列政策鼓励下，美国新兴能源发展迅速。其中，风力发电拉动经济增长的效果十分显著，仅2012年美国在风力发电方面的投资额就高达250亿美元，成为当年美国GDP的主要推动因素。美国最初预计的GDP增长率为+0.1%，最终上调至+0.4%。非住宅领域从+5.8%大幅增加至+16.7%，增长显著，增加部分之中，仅电力领域就占到37%。目前，美国44个州共有559个风力发电相关制造设施。从主要设施来看，大型叶片制造工厂有13家，风车塔制造工厂有12家，涡轮机及短舱相关装配工厂有12家。在就业方面，制造相关领域为2.5万人，如果包括发电及建设等所有相关领域在内，则达8万多人</w:t>
      </w:r>
      <w:r>
        <w:rPr>
          <w:rStyle w:val="FootnoteReference"/>
          <w:rFonts w:ascii="宋体" w:hAnsi="宋体" w:hint="eastAsia"/>
        </w:rPr>
        <w:footnoteReference w:id="2"/>
      </w:r>
      <w:r>
        <w:rPr>
          <w:rFonts w:ascii="宋体" w:hAnsi="宋体" w:hint="eastAsia"/>
        </w:rPr>
        <w:t>。</w:t>
      </w:r>
    </w:p>
    <w:p w:rsidR="00CA619C" w:rsidRDefault="00CA619C" w:rsidP="00CA619C">
      <w:pPr>
        <w:ind w:firstLine="480"/>
        <w:rPr>
          <w:rFonts w:ascii="宋体" w:hAnsi="宋体" w:hint="eastAsia"/>
        </w:rPr>
      </w:pPr>
      <w:r>
        <w:rPr>
          <w:rFonts w:ascii="宋体" w:hAnsi="宋体" w:hint="eastAsia"/>
        </w:rPr>
        <w:t>美国非营利组织太阳能基金会(The Solar Foundation)发布的一系列报告，美国太阳能行业聘用超过14.2万人，超过三分之一在加州。在2010年的基本报告中，第一版普查发现美国太阳能员工超过9.3万人。而2013年在对包括各种形式的太阳能发电，包括光伏、聚光光热及太阳能热和冷却，审查整个供应链的就业岗位，包括安装、制造、销售和分销、研发及学术界、非营利组织进行调查后发现，太阳能行业目前在18000个地点支持142,698名员工，在三年的时间内出现近五万个新就业岗位。</w:t>
      </w:r>
      <w:r>
        <w:rPr>
          <w:rStyle w:val="FootnoteReference"/>
          <w:rFonts w:ascii="宋体" w:hAnsi="宋体" w:hint="eastAsia"/>
        </w:rPr>
        <w:footnoteReference w:id="3"/>
      </w:r>
    </w:p>
    <w:p w:rsidR="00CA619C" w:rsidRDefault="00CA619C" w:rsidP="00CA619C">
      <w:pPr>
        <w:ind w:firstLine="480"/>
        <w:rPr>
          <w:rFonts w:ascii="宋体" w:hAnsi="宋体" w:hint="eastAsia"/>
        </w:rPr>
      </w:pPr>
      <w:r>
        <w:rPr>
          <w:rFonts w:ascii="宋体" w:hAnsi="宋体" w:hint="eastAsia"/>
        </w:rPr>
        <w:t>“页岩气革命”是美国发展新兴能源的代表，美国近年的页岩气产业繁荣带来供应充足和价格低廉的天然气，有效降低了工业生产中的能源成本，进而带动美国了制造业的复苏，并拉动了相关产业比较优势。美国相关产业振兴，不仅创造了源源不断的就业岗位，而且可以减少了美国对外石油进口、稳步促进了美国本土的油气资源出口，进而有效平衡了贸易赤字。根据剑桥能源咨询公司的研究报告</w:t>
      </w:r>
      <w:r>
        <w:rPr>
          <w:rStyle w:val="FootnoteReference"/>
          <w:rFonts w:ascii="宋体" w:hAnsi="宋体" w:hint="eastAsia"/>
        </w:rPr>
        <w:footnoteReference w:id="4"/>
      </w:r>
      <w:r>
        <w:rPr>
          <w:rFonts w:ascii="宋体" w:hAnsi="宋体" w:hint="eastAsia"/>
        </w:rPr>
        <w:t>，迄今为止页岩气革命为美国创造的经济效益主要体现在以下方面。第一，促进经济增长，增加就业。仅在2010年，页岩气相关产业创造了760万亿美元的GDP和60多万个新增工作岗位，并将在未来继续增长。第二，创造新税基，提高政府收入。2010年页岩气相关产业为联邦、州及地方政府带来了180多亿的新增税收，并有望继续增长。第三，降低能源开发和应用成本，提升相关产业竞争力。2011年，非常规天然气井的开采成本比常规天然气井的开采成本降低40%-50%，同时较低的天然气价在可预期范围内将使电价降低10%、并提升2.9%的工业产值。这有利于促进制造业回归至美国本土，并创造更多的工作机会。第四，实现天然气自给，降低天然气价格。据预测，得益于较低的天然气价格，2005年以来美国家庭平均每户每年在能源上节省的开销高于800美元，然而如果大量依靠天然气进口，美国国内天然气价格至少将攀升至现有价格的2倍。</w:t>
      </w:r>
    </w:p>
    <w:p w:rsidR="00CA619C" w:rsidRDefault="00CA619C" w:rsidP="00CA619C">
      <w:pPr>
        <w:ind w:firstLine="480"/>
        <w:rPr>
          <w:rFonts w:ascii="宋体" w:hAnsi="宋体" w:hint="eastAsia"/>
          <w:b/>
          <w:bCs/>
        </w:rPr>
      </w:pPr>
      <w:r>
        <w:rPr>
          <w:rFonts w:ascii="宋体" w:hAnsi="宋体" w:hint="eastAsia"/>
        </w:rPr>
        <w:t>我国经济正处于转型的关键时期，着力改善能源结构，促进新兴能源产业健康发展，实现新能源产业经济的良性循环，势在必行。新兴能源产业的健康发展不仅牵动着未来能源产业格局的神经，也牵动着国家经济发展的利益大势，直接关系国家的经济安全和可持续发展，具有全局影响和战略意义。培育新兴产业是我国转变增长方式的重要突破口。对于我国来说，以新兴产业为龙头，可以带动科技创新、拉动投资、增加高收入就业岗位、提高可持续发展的保障能力。以此为契机，有可能使我国经济转向主要依靠优化结构、技术进步和提高劳动者素质，以提高效率实现经济增长的轨道，提高危机后的国家竞争力。</w:t>
      </w:r>
    </w:p>
    <w:p w:rsidR="00CA619C" w:rsidRDefault="00CA619C" w:rsidP="00CA619C">
      <w:pPr>
        <w:pStyle w:val="Heading2"/>
        <w:rPr>
          <w:rFonts w:hint="eastAsia"/>
        </w:rPr>
      </w:pPr>
      <w:bookmarkStart w:id="8" w:name="_Toc392853105"/>
      <w:r>
        <w:rPr>
          <w:rFonts w:hint="eastAsia"/>
        </w:rPr>
        <w:t>早期普遍具有高成本特性，适当的扶持政策有利于快速启动产业</w:t>
      </w:r>
      <w:bookmarkEnd w:id="8"/>
    </w:p>
    <w:p w:rsidR="00CA619C" w:rsidRDefault="00CA619C" w:rsidP="00CA619C">
      <w:pPr>
        <w:ind w:firstLine="519"/>
        <w:rPr>
          <w:rFonts w:ascii="宋体" w:hAnsi="宋体" w:hint="eastAsia"/>
        </w:rPr>
      </w:pPr>
      <w:r>
        <w:rPr>
          <w:rFonts w:ascii="宋体" w:hAnsi="宋体" w:hint="eastAsia"/>
          <w:b/>
          <w:bCs/>
        </w:rPr>
        <w:t>新兴能源技术发展早期普遍成本较高，且这种发展初期的高成本性使其在与常规能源的竞争中处于劣势，这也是新兴能源技术发展产业化面临的最大挑战。</w:t>
      </w:r>
      <w:r>
        <w:rPr>
          <w:rFonts w:ascii="宋体" w:hAnsi="宋体" w:hint="eastAsia"/>
          <w:bCs/>
        </w:rPr>
        <w:t>任何一种产业形态都具有一定的生命周期，从其萌芽、成长直至成熟壮大，都需要相应的政策扶持。尤其是在产业成长初期，市场规模和经济效益还未凸显的时候，更是需要积极的政策措施加以培育。</w:t>
      </w:r>
      <w:r>
        <w:rPr>
          <w:rFonts w:ascii="宋体" w:hAnsi="宋体" w:hint="eastAsia"/>
        </w:rPr>
        <w:t>某些新兴能源产业由于长时间未克服高成本问题，在大的能源市场环境的影响下，导致该产业发展极其缓慢，或者在于常规能源发展的博弈中</w:t>
      </w:r>
      <w:r>
        <w:rPr>
          <w:rFonts w:ascii="宋体" w:hAnsi="宋体" w:hint="eastAsia"/>
          <w:bCs/>
        </w:rPr>
        <w:t>极具波动性</w:t>
      </w:r>
      <w:r>
        <w:rPr>
          <w:rFonts w:ascii="宋体" w:hAnsi="宋体" w:hint="eastAsia"/>
        </w:rPr>
        <w:t>。例如，在1973年的石油危机以后，受高油价的影响，美、日、西欧等发达国家和地区经济发展受到沉重打击，发达国家都建立了自己的可再生能源研发机构，并制定相应的专项计划，加强可再生能源的研究与应用，力图减少对传统能源的依赖。虽然可再生能源资源丰富，但能量密度低，在当时的科技水平限制下，可再生能源的转换效率低，成本高，很难与传统化石能源竞争，新能源开发如“昙花一现”。直到后来受到环境形势的倒逼，通过一系列的补贴与扶持，才逐渐发展起来。例如，在光伏领域，占光伏组件总成本近40%的多晶硅价格，已经由2006年的250美元/kg下降到2008年的140美元/kg，光伏发电的的成本也下降到2.3-1.7元/ KWh，且还有很大的下降空间。这种下降速度远远超出了当年众多学术机构和投资者的预期。目前国际上一些权威机构对未来光伏发电成本的预测都持很乐观的态度，其中最为乐观的预测认为，到2015年光伏发电的成本会降到1.0-0.7元/KWh，也就是说再用五年左右的时间就可实现光伏发电成本达到传统电力的水平。</w:t>
      </w:r>
    </w:p>
    <w:p w:rsidR="00CA619C" w:rsidRDefault="00CA619C" w:rsidP="00CA619C">
      <w:pPr>
        <w:ind w:firstLine="519"/>
        <w:rPr>
          <w:rFonts w:ascii="宋体" w:hAnsi="宋体" w:hint="eastAsia"/>
        </w:rPr>
      </w:pPr>
      <w:r>
        <w:rPr>
          <w:rFonts w:ascii="宋体" w:hAnsi="宋体" w:hint="eastAsia"/>
          <w:b/>
          <w:bCs/>
        </w:rPr>
        <w:t>新兴能源技术在发展早期通常需要国家以扶持性的产业政策来启动技术应用，产业发展早期的财政税收及补贴等政策至关重要</w:t>
      </w:r>
      <w:r>
        <w:rPr>
          <w:rFonts w:ascii="宋体" w:hAnsi="宋体" w:hint="eastAsia"/>
          <w:b/>
        </w:rPr>
        <w:t>。</w:t>
      </w:r>
      <w:r>
        <w:rPr>
          <w:rFonts w:ascii="宋体" w:hAnsi="宋体" w:hint="eastAsia"/>
        </w:rPr>
        <w:t>事实上，在风电和光伏等新能源发展早期，世界各国普遍通过补贴和财税优惠政策对新兴能源的发展给予不同程度的扶持。例如，德国主要是通过优惠贷款、津贴以及可再生能源生产者给予较高标准的固定补贴相结合的方式对可再生能源发展进行补贴。德国于1990年制定《电力输送法》，规定中型到大型电力用户按居民电价的90%支付风能、太阳能、水力以及生物质能生产的电力；对风能发电，德国政府按电力产出量或设备能力成本支付津贴。投资可再生能源的企业，国家还以低于市场利率1-2个百分点的优惠利率，提供相当于设备投资成本75%的优惠贷款。例如，日本1997年之前推行的“万户屋顶”计划，就是通过对电力消耗征收附加税的方式筹资，对所有装备太阳能的家庭，予以相当于设备成本三分之一的津贴，同时电力部门承诺以市场价格回购太阳能装置生产的超出家庭消耗需求的电。</w:t>
      </w:r>
    </w:p>
    <w:p w:rsidR="00CA619C" w:rsidRDefault="00CA619C" w:rsidP="00CA619C">
      <w:pPr>
        <w:pStyle w:val="Heading2"/>
        <w:rPr>
          <w:rFonts w:hint="eastAsia"/>
        </w:rPr>
      </w:pPr>
      <w:bookmarkStart w:id="9" w:name="_Toc392853106"/>
      <w:r>
        <w:rPr>
          <w:rFonts w:hint="eastAsia"/>
        </w:rPr>
        <w:t>产业扶持政策须与新兴能源技术发展相匹配</w:t>
      </w:r>
      <w:bookmarkEnd w:id="9"/>
    </w:p>
    <w:p w:rsidR="00CA619C" w:rsidRDefault="00CA619C" w:rsidP="00CA619C">
      <w:pPr>
        <w:ind w:firstLine="519"/>
        <w:rPr>
          <w:rFonts w:ascii="宋体" w:hAnsi="宋体" w:hint="eastAsia"/>
        </w:rPr>
      </w:pPr>
      <w:r>
        <w:rPr>
          <w:rFonts w:ascii="宋体" w:hAnsi="宋体" w:hint="eastAsia"/>
          <w:b/>
          <w:bCs/>
        </w:rPr>
        <w:t>当然，新能源产业的扶持政策并不是一成不变的，政府须根据新兴能源技术的发展和应用情况适时调整扶持政策，以匹配产业发展进程，最终由市场经济选择技术竞争力。</w:t>
      </w:r>
      <w:r>
        <w:rPr>
          <w:rFonts w:ascii="宋体" w:hAnsi="宋体" w:hint="eastAsia"/>
        </w:rPr>
        <w:t>对新兴能源的补贴并不是贯穿于整个产业周期，而是具有一定的阶段性。一般来说，随着产业技术的进步，补贴的程度和幅度是呈现一个先增加再减少的趋势。</w:t>
      </w:r>
    </w:p>
    <w:p w:rsidR="00CA619C" w:rsidRDefault="00CA619C" w:rsidP="00CA619C">
      <w:pPr>
        <w:ind w:firstLine="480"/>
        <w:rPr>
          <w:rFonts w:hint="eastAsia"/>
        </w:rPr>
      </w:pPr>
      <w:r>
        <w:rPr>
          <w:rFonts w:hint="eastAsia"/>
        </w:rPr>
        <w:t>例如具有代表性的德国光伏：早在</w:t>
      </w:r>
      <w:r>
        <w:rPr>
          <w:rFonts w:hint="eastAsia"/>
        </w:rPr>
        <w:t>1991</w:t>
      </w:r>
      <w:r>
        <w:rPr>
          <w:rFonts w:hint="eastAsia"/>
        </w:rPr>
        <w:t>年，德国就通过了《强制购电法（</w:t>
      </w:r>
      <w:r>
        <w:rPr>
          <w:rFonts w:hint="eastAsia"/>
        </w:rPr>
        <w:t>StrEG</w:t>
      </w:r>
      <w:r>
        <w:rPr>
          <w:rFonts w:hint="eastAsia"/>
        </w:rPr>
        <w:t>）》，要求电网企业按规定的电价全额收购可再生能源发电量；</w:t>
      </w:r>
      <w:r>
        <w:rPr>
          <w:rFonts w:hint="eastAsia"/>
        </w:rPr>
        <w:t>2000</w:t>
      </w:r>
      <w:r>
        <w:rPr>
          <w:rFonts w:hint="eastAsia"/>
        </w:rPr>
        <w:t>年，德国颁布了世界上第一部《可再生能源法（</w:t>
      </w:r>
      <w:r>
        <w:rPr>
          <w:rFonts w:hint="eastAsia"/>
        </w:rPr>
        <w:t>EEG</w:t>
      </w:r>
      <w:r>
        <w:rPr>
          <w:rFonts w:hint="eastAsia"/>
        </w:rPr>
        <w:t>）》，当时规定光伏发电在固定时间内（</w:t>
      </w:r>
      <w:r>
        <w:rPr>
          <w:rFonts w:hint="eastAsia"/>
        </w:rPr>
        <w:t>20</w:t>
      </w:r>
      <w:r>
        <w:rPr>
          <w:rFonts w:hint="eastAsia"/>
        </w:rPr>
        <w:t>年）享受固定的上网电价，上网电价每年按</w:t>
      </w:r>
      <w:r>
        <w:rPr>
          <w:rFonts w:hint="eastAsia"/>
        </w:rPr>
        <w:t>5%</w:t>
      </w:r>
      <w:r>
        <w:rPr>
          <w:rFonts w:hint="eastAsia"/>
        </w:rPr>
        <w:t>的比例递减，同时还设置了每年提供优惠上网电价的容量上限为</w:t>
      </w:r>
      <w:r>
        <w:rPr>
          <w:rFonts w:hint="eastAsia"/>
        </w:rPr>
        <w:t>35</w:t>
      </w:r>
      <w:r>
        <w:rPr>
          <w:rFonts w:hint="eastAsia"/>
        </w:rPr>
        <w:t>万千瓦（</w:t>
      </w:r>
      <w:r>
        <w:rPr>
          <w:rFonts w:hint="eastAsia"/>
        </w:rPr>
        <w:t>0.35</w:t>
      </w:r>
      <w:r>
        <w:rPr>
          <w:rFonts w:hint="eastAsia"/>
        </w:rPr>
        <w:t>吉瓦）；</w:t>
      </w:r>
      <w:r>
        <w:rPr>
          <w:rFonts w:hint="eastAsia"/>
        </w:rPr>
        <w:t>2002</w:t>
      </w:r>
      <w:r>
        <w:rPr>
          <w:rFonts w:hint="eastAsia"/>
        </w:rPr>
        <w:t>年，上述每年提供优惠上网电价的容量上限被调整为了</w:t>
      </w:r>
      <w:r>
        <w:rPr>
          <w:rFonts w:hint="eastAsia"/>
        </w:rPr>
        <w:t>1</w:t>
      </w:r>
      <w:r>
        <w:rPr>
          <w:rFonts w:hint="eastAsia"/>
        </w:rPr>
        <w:t>吉瓦；</w:t>
      </w:r>
      <w:r>
        <w:rPr>
          <w:rFonts w:hint="eastAsia"/>
        </w:rPr>
        <w:t>2004</w:t>
      </w:r>
      <w:r>
        <w:rPr>
          <w:rFonts w:hint="eastAsia"/>
        </w:rPr>
        <w:t>年，德国修订了</w:t>
      </w:r>
      <w:r>
        <w:rPr>
          <w:rFonts w:hint="eastAsia"/>
        </w:rPr>
        <w:t>EEG</w:t>
      </w:r>
      <w:r>
        <w:rPr>
          <w:rFonts w:hint="eastAsia"/>
        </w:rPr>
        <w:t>，规定对不同容量、不同形式的光伏发电实行</w:t>
      </w:r>
      <w:r>
        <w:rPr>
          <w:rFonts w:hint="eastAsia"/>
        </w:rPr>
        <w:t>46~62</w:t>
      </w:r>
      <w:r>
        <w:rPr>
          <w:rFonts w:hint="eastAsia"/>
        </w:rPr>
        <w:t>欧分</w:t>
      </w:r>
      <w:r>
        <w:rPr>
          <w:rFonts w:hint="eastAsia"/>
        </w:rPr>
        <w:t>/</w:t>
      </w:r>
      <w:r>
        <w:rPr>
          <w:rFonts w:hint="eastAsia"/>
        </w:rPr>
        <w:t>千瓦时的区别上网电价；</w:t>
      </w:r>
      <w:r>
        <w:rPr>
          <w:rFonts w:hint="eastAsia"/>
        </w:rPr>
        <w:t>2009</w:t>
      </w:r>
      <w:r>
        <w:rPr>
          <w:rFonts w:hint="eastAsia"/>
        </w:rPr>
        <w:t>年，德国采取了更加灵活的上网电价政策，将其每年递减的比例由固定值改为与容量挂钩，以更好地利用电价杠杆，调节新增的装机容量；</w:t>
      </w:r>
      <w:r>
        <w:rPr>
          <w:rFonts w:hint="eastAsia"/>
        </w:rPr>
        <w:t>2011</w:t>
      </w:r>
      <w:r>
        <w:rPr>
          <w:rFonts w:hint="eastAsia"/>
        </w:rPr>
        <w:t>年，德国光伏发电上网电价降低为</w:t>
      </w:r>
      <w:r>
        <w:rPr>
          <w:rFonts w:hint="eastAsia"/>
        </w:rPr>
        <w:t>0.24~0.39</w:t>
      </w:r>
      <w:r>
        <w:rPr>
          <w:rFonts w:hint="eastAsia"/>
        </w:rPr>
        <w:t>欧分</w:t>
      </w:r>
      <w:r>
        <w:rPr>
          <w:rFonts w:hint="eastAsia"/>
        </w:rPr>
        <w:t>/</w:t>
      </w:r>
      <w:r>
        <w:rPr>
          <w:rFonts w:hint="eastAsia"/>
        </w:rPr>
        <w:t>千瓦时。</w:t>
      </w:r>
    </w:p>
    <w:p w:rsidR="00CA619C" w:rsidRDefault="00CA619C" w:rsidP="00CA619C">
      <w:pPr>
        <w:ind w:firstLine="480"/>
        <w:rPr>
          <w:rFonts w:hint="eastAsia"/>
        </w:rPr>
      </w:pPr>
      <w:r>
        <w:rPr>
          <w:rFonts w:hint="eastAsia"/>
        </w:rPr>
        <w:t>又如美国对页岩气开发的补贴。在</w:t>
      </w:r>
      <w:r>
        <w:rPr>
          <w:rFonts w:hint="eastAsia"/>
        </w:rPr>
        <w:t>20</w:t>
      </w:r>
      <w:r>
        <w:rPr>
          <w:rFonts w:hint="eastAsia"/>
        </w:rPr>
        <w:t>世纪</w:t>
      </w:r>
      <w:r>
        <w:rPr>
          <w:rFonts w:hint="eastAsia"/>
        </w:rPr>
        <w:t>70</w:t>
      </w:r>
      <w:r>
        <w:rPr>
          <w:rFonts w:hint="eastAsia"/>
        </w:rPr>
        <w:t>年代末的美国页岩气发展早期，美国政府在《能源意外获利法》中提出非常规能源开发税收补贴政策，对</w:t>
      </w:r>
      <w:r>
        <w:rPr>
          <w:rFonts w:hint="eastAsia"/>
        </w:rPr>
        <w:t>1979-1993</w:t>
      </w:r>
      <w:r>
        <w:rPr>
          <w:rFonts w:hint="eastAsia"/>
        </w:rPr>
        <w:t>年钻探的非常规油气和</w:t>
      </w:r>
      <w:r>
        <w:rPr>
          <w:rFonts w:hint="eastAsia"/>
        </w:rPr>
        <w:t>2003</w:t>
      </w:r>
      <w:r>
        <w:rPr>
          <w:rFonts w:hint="eastAsia"/>
        </w:rPr>
        <w:t>年之前生产和销售的页岩气及致密气实施税收减免，对油气行业实施</w:t>
      </w:r>
      <w:r>
        <w:rPr>
          <w:rFonts w:hint="eastAsia"/>
        </w:rPr>
        <w:t>5</w:t>
      </w:r>
      <w:r>
        <w:rPr>
          <w:rFonts w:hint="eastAsia"/>
        </w:rPr>
        <w:t>种税收优惠；随后，在</w:t>
      </w:r>
      <w:r>
        <w:rPr>
          <w:rFonts w:hint="eastAsia"/>
        </w:rPr>
        <w:t>1990</w:t>
      </w:r>
      <w:r>
        <w:rPr>
          <w:rFonts w:hint="eastAsia"/>
        </w:rPr>
        <w:t>年的《税收分配综合协调法案》和</w:t>
      </w:r>
      <w:r>
        <w:rPr>
          <w:rFonts w:hint="eastAsia"/>
        </w:rPr>
        <w:t>1992</w:t>
      </w:r>
      <w:r>
        <w:rPr>
          <w:rFonts w:hint="eastAsia"/>
        </w:rPr>
        <w:t>年的《能源税收法案》便扩大了非常规能源的补贴范围。</w:t>
      </w:r>
      <w:r>
        <w:rPr>
          <w:rFonts w:hint="eastAsia"/>
        </w:rPr>
        <w:t>2005</w:t>
      </w:r>
      <w:r>
        <w:rPr>
          <w:rFonts w:hint="eastAsia"/>
        </w:rPr>
        <w:t>年起，美国政府加大了开发难采天然气的政策扶持力度，大大降低了天然气开采税。为激发土地所有者与开采公司签署土地租赁合同的积极性，政府给土地所有者增加了</w:t>
      </w:r>
      <w:r>
        <w:rPr>
          <w:rFonts w:hint="eastAsia"/>
        </w:rPr>
        <w:t>25%</w:t>
      </w:r>
      <w:r>
        <w:rPr>
          <w:rFonts w:hint="eastAsia"/>
        </w:rPr>
        <w:t>的强制提成，并且鼓励天然气企业积极开展水平井钻探和多级地层水力压裂工序等技术创新。在这一系列政策扶持措施的推动下，页岩气勘探开发才取得了明显成果。</w:t>
      </w:r>
    </w:p>
    <w:p w:rsidR="00CA619C" w:rsidRDefault="00CA619C" w:rsidP="00CA619C">
      <w:pPr>
        <w:ind w:firstLine="519"/>
        <w:rPr>
          <w:rFonts w:hint="eastAsia"/>
        </w:rPr>
      </w:pPr>
      <w:r>
        <w:rPr>
          <w:rFonts w:hint="eastAsia"/>
          <w:b/>
          <w:bCs/>
        </w:rPr>
        <w:t>但是，采取补贴等方式扶持也会带来问题</w:t>
      </w:r>
      <w:r>
        <w:rPr>
          <w:rFonts w:hint="eastAsia"/>
        </w:rPr>
        <w:t>，其中最大的问题就是随着产业规模越来越大，补贴所需资金也越来越多，这会使财力变得难以为继。此外，补贴也会给新兴能源产业发展带来负面影响，如补贴可能会使市场机制缺乏作用，让企业产生依赖，从而不是促进反而阻碍产业的发展等。</w:t>
      </w:r>
    </w:p>
    <w:p w:rsidR="00CA619C" w:rsidRDefault="00CA619C" w:rsidP="00CA619C">
      <w:pPr>
        <w:ind w:firstLine="480"/>
        <w:rPr>
          <w:rFonts w:hint="eastAsia"/>
        </w:rPr>
      </w:pPr>
      <w:r>
        <w:rPr>
          <w:rFonts w:hint="eastAsia"/>
        </w:rPr>
        <w:t>例如欧盟在对可再生能源的补贴上就出现了难题。为了提高绿色能源的市场竞争力，降低碳排放，减少气候变化对环境的威胁，从</w:t>
      </w:r>
      <w:r>
        <w:rPr>
          <w:rFonts w:hint="eastAsia"/>
        </w:rPr>
        <w:t>2005</w:t>
      </w:r>
      <w:r>
        <w:rPr>
          <w:rFonts w:hint="eastAsia"/>
        </w:rPr>
        <w:t>年起，欧盟国家已陆续向可再生能源项目投资约</w:t>
      </w:r>
      <w:r>
        <w:rPr>
          <w:rFonts w:hint="eastAsia"/>
        </w:rPr>
        <w:t>6000</w:t>
      </w:r>
      <w:r>
        <w:rPr>
          <w:rFonts w:hint="eastAsia"/>
        </w:rPr>
        <w:t>亿欧元</w:t>
      </w:r>
      <w:r>
        <w:rPr>
          <w:rFonts w:hint="eastAsia"/>
        </w:rPr>
        <w:t>(</w:t>
      </w:r>
      <w:r>
        <w:rPr>
          <w:rFonts w:hint="eastAsia"/>
        </w:rPr>
        <w:t>约合</w:t>
      </w:r>
      <w:r>
        <w:rPr>
          <w:rFonts w:hint="eastAsia"/>
        </w:rPr>
        <w:t>8820</w:t>
      </w:r>
      <w:r>
        <w:rPr>
          <w:rFonts w:hint="eastAsia"/>
        </w:rPr>
        <w:t>亿美元</w:t>
      </w:r>
      <w:r>
        <w:rPr>
          <w:rFonts w:hint="eastAsia"/>
        </w:rPr>
        <w:t>)</w:t>
      </w:r>
      <w:r>
        <w:rPr>
          <w:rFonts w:hint="eastAsia"/>
        </w:rPr>
        <w:t>。不过目前可再生能源已让欧洲“进退两难”，欧洲本来是世界仿效的绿色能源典范，但不知不觉已成为反面教材。如今，在欧洲经济不景气的背景下，大多数欧盟成员国不再像从前那样“拥护”可再生能源，或削减财政补贴，或出台税收政策。</w:t>
      </w:r>
    </w:p>
    <w:p w:rsidR="00CA619C" w:rsidRDefault="00CA619C" w:rsidP="00CA619C">
      <w:pPr>
        <w:ind w:firstLine="480"/>
        <w:rPr>
          <w:rFonts w:hint="eastAsia"/>
        </w:rPr>
      </w:pPr>
      <w:r>
        <w:rPr>
          <w:rFonts w:hint="eastAsia"/>
        </w:rPr>
        <w:t>2013</w:t>
      </w:r>
      <w:r>
        <w:rPr>
          <w:rFonts w:hint="eastAsia"/>
        </w:rPr>
        <w:t>年</w:t>
      </w:r>
      <w:r>
        <w:rPr>
          <w:rFonts w:hint="eastAsia"/>
        </w:rPr>
        <w:t>9</w:t>
      </w:r>
      <w:r>
        <w:rPr>
          <w:rFonts w:hint="eastAsia"/>
        </w:rPr>
        <w:t>月，捷克议会上议院审批通过了一项可再生能源法案，该项法案规定自</w:t>
      </w:r>
      <w:r>
        <w:rPr>
          <w:rFonts w:hint="eastAsia"/>
        </w:rPr>
        <w:t>2014</w:t>
      </w:r>
      <w:r>
        <w:rPr>
          <w:rFonts w:hint="eastAsia"/>
        </w:rPr>
        <w:t>年</w:t>
      </w:r>
      <w:r>
        <w:rPr>
          <w:rFonts w:hint="eastAsia"/>
        </w:rPr>
        <w:t>1</w:t>
      </w:r>
      <w:r>
        <w:rPr>
          <w:rFonts w:hint="eastAsia"/>
        </w:rPr>
        <w:t>月份起终止对所有类型的可再生能源提供</w:t>
      </w:r>
      <w:r>
        <w:rPr>
          <w:rFonts w:hint="eastAsia"/>
        </w:rPr>
        <w:t>FIT</w:t>
      </w:r>
      <w:r>
        <w:rPr>
          <w:rFonts w:hint="eastAsia"/>
        </w:rPr>
        <w:t>补贴，延长对光伏发电站的征税期限，并对目前装机量大于</w:t>
      </w:r>
      <w:r>
        <w:rPr>
          <w:rFonts w:hint="eastAsia"/>
        </w:rPr>
        <w:t>30kW</w:t>
      </w:r>
      <w:r>
        <w:rPr>
          <w:rFonts w:hint="eastAsia"/>
        </w:rPr>
        <w:t>的太阳能光伏发电站可追溯性征收高达</w:t>
      </w:r>
      <w:r>
        <w:rPr>
          <w:rFonts w:hint="eastAsia"/>
        </w:rPr>
        <w:t>28%</w:t>
      </w:r>
      <w:r>
        <w:rPr>
          <w:rFonts w:hint="eastAsia"/>
        </w:rPr>
        <w:t>的税率。</w:t>
      </w:r>
    </w:p>
    <w:p w:rsidR="00CA619C" w:rsidRDefault="00CA619C" w:rsidP="00CA619C">
      <w:pPr>
        <w:ind w:firstLine="480"/>
        <w:rPr>
          <w:rFonts w:hint="eastAsia"/>
        </w:rPr>
      </w:pPr>
      <w:r>
        <w:rPr>
          <w:rFonts w:hint="eastAsia"/>
        </w:rPr>
        <w:t>除了捷克，德国、西班牙等绿色大国也对可再生能源补贴有点消化不良。西班牙多年来一直斥巨资填补能源价格与成本之间的差价，现已成为欧盟区最大的公共赤字国，背负着</w:t>
      </w:r>
      <w:r>
        <w:rPr>
          <w:rFonts w:hint="eastAsia"/>
        </w:rPr>
        <w:t>260</w:t>
      </w:r>
      <w:r>
        <w:rPr>
          <w:rFonts w:hint="eastAsia"/>
        </w:rPr>
        <w:t>亿欧元的能源补贴债务。对此，西班牙政府不得不多次削减补贴，导致国内超过</w:t>
      </w:r>
      <w:r>
        <w:rPr>
          <w:rFonts w:hint="eastAsia"/>
        </w:rPr>
        <w:t>5</w:t>
      </w:r>
      <w:r>
        <w:rPr>
          <w:rFonts w:hint="eastAsia"/>
        </w:rPr>
        <w:t>万家光伏企业面临财政亏空和破产风险。而拥有世界一半以上太阳能电池板的德国，德国</w:t>
      </w:r>
      <w:r>
        <w:rPr>
          <w:rFonts w:hint="eastAsia"/>
        </w:rPr>
        <w:t>110</w:t>
      </w:r>
      <w:r>
        <w:rPr>
          <w:rFonts w:hint="eastAsia"/>
        </w:rPr>
        <w:t>万个太阳能发电系统在</w:t>
      </w:r>
      <w:r>
        <w:rPr>
          <w:rFonts w:hint="eastAsia"/>
        </w:rPr>
        <w:t>2012</w:t>
      </w:r>
      <w:r>
        <w:rPr>
          <w:rFonts w:hint="eastAsia"/>
        </w:rPr>
        <w:t>年</w:t>
      </w:r>
      <w:r>
        <w:rPr>
          <w:rFonts w:hint="eastAsia"/>
        </w:rPr>
        <w:t>12</w:t>
      </w:r>
      <w:r>
        <w:rPr>
          <w:rFonts w:hint="eastAsia"/>
        </w:rPr>
        <w:t>月至</w:t>
      </w:r>
      <w:r>
        <w:rPr>
          <w:rFonts w:hint="eastAsia"/>
        </w:rPr>
        <w:t>2013</w:t>
      </w:r>
      <w:r>
        <w:rPr>
          <w:rFonts w:hint="eastAsia"/>
        </w:rPr>
        <w:t>年</w:t>
      </w:r>
      <w:r>
        <w:rPr>
          <w:rFonts w:hint="eastAsia"/>
        </w:rPr>
        <w:t>1</w:t>
      </w:r>
      <w:r>
        <w:rPr>
          <w:rFonts w:hint="eastAsia"/>
        </w:rPr>
        <w:t>月间几乎瘫痪，基本无电可发。为了防止大规模停电，德国电网运营商们不得不从法国进口核电，或启用天然气发电站和燃煤电站作为备用电力。默克尔曾承诺，如果</w:t>
      </w:r>
      <w:r>
        <w:rPr>
          <w:rFonts w:hint="eastAsia"/>
        </w:rPr>
        <w:t>2013</w:t>
      </w:r>
      <w:r>
        <w:rPr>
          <w:rFonts w:hint="eastAsia"/>
        </w:rPr>
        <w:t>年</w:t>
      </w:r>
      <w:r>
        <w:rPr>
          <w:rFonts w:hint="eastAsia"/>
        </w:rPr>
        <w:t>9</w:t>
      </w:r>
      <w:r>
        <w:rPr>
          <w:rFonts w:hint="eastAsia"/>
        </w:rPr>
        <w:t>月大选连任，每年将对可再生能源项目削减约</w:t>
      </w:r>
      <w:r>
        <w:rPr>
          <w:rFonts w:hint="eastAsia"/>
        </w:rPr>
        <w:t>240</w:t>
      </w:r>
      <w:r>
        <w:rPr>
          <w:rFonts w:hint="eastAsia"/>
        </w:rPr>
        <w:t>亿欧元的补贴。</w:t>
      </w:r>
    </w:p>
    <w:p w:rsidR="00CA619C" w:rsidRDefault="00CA619C" w:rsidP="00CA619C">
      <w:pPr>
        <w:ind w:firstLine="480"/>
        <w:rPr>
          <w:rFonts w:hint="eastAsia"/>
        </w:rPr>
      </w:pPr>
      <w:r>
        <w:rPr>
          <w:rFonts w:hint="eastAsia"/>
        </w:rPr>
        <w:t>此外，</w:t>
      </w:r>
      <w:r>
        <w:rPr>
          <w:rFonts w:hint="eastAsia"/>
        </w:rPr>
        <w:t>2012</w:t>
      </w:r>
      <w:r>
        <w:rPr>
          <w:rFonts w:hint="eastAsia"/>
        </w:rPr>
        <w:t>年</w:t>
      </w:r>
      <w:r>
        <w:rPr>
          <w:rFonts w:hint="eastAsia"/>
        </w:rPr>
        <w:t>4</w:t>
      </w:r>
      <w:r>
        <w:rPr>
          <w:rFonts w:hint="eastAsia"/>
        </w:rPr>
        <w:t>月，意大利设定了可再生能源补贴限额，年度补贴支出将不超过</w:t>
      </w:r>
      <w:r>
        <w:rPr>
          <w:rFonts w:hint="eastAsia"/>
        </w:rPr>
        <w:t>65</w:t>
      </w:r>
      <w:r>
        <w:rPr>
          <w:rFonts w:hint="eastAsia"/>
        </w:rPr>
        <w:t>亿欧元；</w:t>
      </w:r>
      <w:r>
        <w:rPr>
          <w:rFonts w:hint="eastAsia"/>
        </w:rPr>
        <w:t>2012</w:t>
      </w:r>
      <w:r>
        <w:rPr>
          <w:rFonts w:hint="eastAsia"/>
        </w:rPr>
        <w:t>年</w:t>
      </w:r>
      <w:r>
        <w:rPr>
          <w:rFonts w:hint="eastAsia"/>
        </w:rPr>
        <w:t>7</w:t>
      </w:r>
      <w:r>
        <w:rPr>
          <w:rFonts w:hint="eastAsia"/>
        </w:rPr>
        <w:t>月，保加利亚也大幅削减太阳能和风电补贴；</w:t>
      </w:r>
      <w:r>
        <w:rPr>
          <w:rFonts w:hint="eastAsia"/>
        </w:rPr>
        <w:t>2013</w:t>
      </w:r>
      <w:r>
        <w:rPr>
          <w:rFonts w:hint="eastAsia"/>
        </w:rPr>
        <w:t>年，波兰政府开始修正削减可再生能源补贴草案；</w:t>
      </w:r>
      <w:r>
        <w:rPr>
          <w:rFonts w:hint="eastAsia"/>
        </w:rPr>
        <w:t>2013</w:t>
      </w:r>
      <w:r>
        <w:rPr>
          <w:rFonts w:hint="eastAsia"/>
        </w:rPr>
        <w:t>年</w:t>
      </w:r>
      <w:r>
        <w:rPr>
          <w:rFonts w:hint="eastAsia"/>
        </w:rPr>
        <w:t>3</w:t>
      </w:r>
      <w:r>
        <w:rPr>
          <w:rFonts w:hint="eastAsia"/>
        </w:rPr>
        <w:t>月</w:t>
      </w:r>
      <w:r>
        <w:rPr>
          <w:rFonts w:hint="eastAsia"/>
        </w:rPr>
        <w:t>29</w:t>
      </w:r>
      <w:r>
        <w:rPr>
          <w:rFonts w:hint="eastAsia"/>
        </w:rPr>
        <w:t>日，罗马尼亚能源监管机构宣布，政府将削减可再生能源补贴，减少颁发绿色电力证书，降低发电商购买绿色电力证书的价格上限。</w:t>
      </w:r>
    </w:p>
    <w:p w:rsidR="00CA619C" w:rsidRDefault="00CA619C" w:rsidP="00CA619C">
      <w:pPr>
        <w:ind w:firstLine="519"/>
        <w:rPr>
          <w:rFonts w:hint="eastAsia"/>
        </w:rPr>
      </w:pPr>
      <w:r>
        <w:rPr>
          <w:rFonts w:hint="eastAsia"/>
          <w:b/>
          <w:bCs/>
        </w:rPr>
        <w:t>我国也不例外，比如我国的风电产业。</w:t>
      </w:r>
      <w:r>
        <w:rPr>
          <w:rFonts w:hint="eastAsia"/>
        </w:rPr>
        <w:t>我国财政部</w:t>
      </w:r>
      <w:r>
        <w:rPr>
          <w:rFonts w:hint="eastAsia"/>
        </w:rPr>
        <w:t>2008</w:t>
      </w:r>
      <w:r>
        <w:rPr>
          <w:rFonts w:hint="eastAsia"/>
        </w:rPr>
        <w:t>年出台的《风力发电设备产业化专项资金管理暂行办法》指出，财政资金将支持中国境内从事风力发电设备生产制造的中资及中资控股企业，对满足支持条件的企业的首批</w:t>
      </w:r>
      <w:r>
        <w:rPr>
          <w:rFonts w:hint="eastAsia"/>
        </w:rPr>
        <w:t>50</w:t>
      </w:r>
      <w:r>
        <w:rPr>
          <w:rFonts w:hint="eastAsia"/>
        </w:rPr>
        <w:t>台风电机组，按</w:t>
      </w:r>
      <w:r>
        <w:rPr>
          <w:rFonts w:hint="eastAsia"/>
        </w:rPr>
        <w:t>600</w:t>
      </w:r>
      <w:r>
        <w:rPr>
          <w:rFonts w:hint="eastAsia"/>
        </w:rPr>
        <w:t>元</w:t>
      </w:r>
      <w:r>
        <w:rPr>
          <w:rFonts w:hint="eastAsia"/>
        </w:rPr>
        <w:t>/</w:t>
      </w:r>
      <w:r>
        <w:rPr>
          <w:rFonts w:hint="eastAsia"/>
        </w:rPr>
        <w:t>千瓦的标准予以补助。但在这种补贴模式下，导致风电设备制造技术进步缓慢，质量问题频出。另外，随着我国风电生产能力逐渐增强，补贴对于风电产业发展已经意义不大。例如金风科技在</w:t>
      </w:r>
      <w:r>
        <w:rPr>
          <w:rFonts w:hint="eastAsia"/>
        </w:rPr>
        <w:t>2009~2010</w:t>
      </w:r>
      <w:r>
        <w:rPr>
          <w:rFonts w:hint="eastAsia"/>
        </w:rPr>
        <w:t>年期间，</w:t>
      </w:r>
      <w:r>
        <w:rPr>
          <w:rFonts w:hint="eastAsia"/>
        </w:rPr>
        <w:t>1.5</w:t>
      </w:r>
      <w:r>
        <w:rPr>
          <w:rFonts w:hint="eastAsia"/>
        </w:rPr>
        <w:t>兆瓦的主流机型装机就已经超过</w:t>
      </w:r>
      <w:r>
        <w:rPr>
          <w:rFonts w:hint="eastAsia"/>
        </w:rPr>
        <w:t>3000</w:t>
      </w:r>
      <w:r>
        <w:rPr>
          <w:rFonts w:hint="eastAsia"/>
        </w:rPr>
        <w:t>台，</w:t>
      </w:r>
      <w:r>
        <w:rPr>
          <w:rFonts w:hint="eastAsia"/>
        </w:rPr>
        <w:t>50</w:t>
      </w:r>
      <w:r>
        <w:rPr>
          <w:rFonts w:hint="eastAsia"/>
        </w:rPr>
        <w:t>台机组的补贴对于企业经营已意义不大。</w:t>
      </w:r>
      <w:r>
        <w:rPr>
          <w:rFonts w:hint="eastAsia"/>
        </w:rPr>
        <w:t>2011</w:t>
      </w:r>
      <w:r>
        <w:rPr>
          <w:rFonts w:hint="eastAsia"/>
        </w:rPr>
        <w:t>年</w:t>
      </w:r>
      <w:r>
        <w:rPr>
          <w:rFonts w:hint="eastAsia"/>
        </w:rPr>
        <w:t>2</w:t>
      </w:r>
      <w:r>
        <w:rPr>
          <w:rFonts w:hint="eastAsia"/>
        </w:rPr>
        <w:t>月，财政部公布《财政部关于公布废止和失效的财政规章和规范性文件目录（第十一批）的决定》，</w:t>
      </w:r>
      <w:r>
        <w:rPr>
          <w:rFonts w:hint="eastAsia"/>
        </w:rPr>
        <w:t>2008</w:t>
      </w:r>
      <w:r>
        <w:rPr>
          <w:rFonts w:hint="eastAsia"/>
        </w:rPr>
        <w:t>年出台的《风力发电设备产业化专项资金管理暂行办法》</w:t>
      </w:r>
      <w:r>
        <w:rPr>
          <w:rFonts w:hint="eastAsia"/>
        </w:rPr>
        <w:t>(</w:t>
      </w:r>
      <w:r>
        <w:rPr>
          <w:rFonts w:hint="eastAsia"/>
        </w:rPr>
        <w:t>财建</w:t>
      </w:r>
      <w:r>
        <w:rPr>
          <w:rFonts w:hint="eastAsia"/>
        </w:rPr>
        <w:t>[2008]476</w:t>
      </w:r>
      <w:r>
        <w:rPr>
          <w:rFonts w:hint="eastAsia"/>
        </w:rPr>
        <w:t>号</w:t>
      </w:r>
      <w:r>
        <w:rPr>
          <w:rFonts w:hint="eastAsia"/>
        </w:rPr>
        <w:t>)</w:t>
      </w:r>
      <w:r>
        <w:rPr>
          <w:rFonts w:hint="eastAsia"/>
        </w:rPr>
        <w:t>等一批财政规章和规范性文件随即被废止。</w:t>
      </w:r>
    </w:p>
    <w:p w:rsidR="00CA619C" w:rsidRDefault="00CA619C" w:rsidP="00CA619C">
      <w:pPr>
        <w:ind w:firstLine="480"/>
        <w:rPr>
          <w:rFonts w:ascii="宋体" w:hAnsi="宋体" w:hint="eastAsia"/>
        </w:rPr>
      </w:pPr>
      <w:r>
        <w:rPr>
          <w:rFonts w:ascii="宋体" w:hAnsi="宋体" w:hint="eastAsia"/>
        </w:rPr>
        <w:t>而在2006年6月通过的《可再生能源法》中，明确电网企业按照中标价格收购风电、光电等可再生能源，超出常规火电上网标杆价格的部分，附加在销售电价中分摊。可再生能源电价附加的征收标准最初为0.1分/千瓦时。随后，这一标准提高到0. 2分/千瓦时，2009年11月起调高至0. 4元/千瓦时，2011年12月调高至0.8分/千瓦时。但随着风电装机容量的逐年上升，补贴的压力也越来越大，国家财政对发电企业的补贴拖欠已越来越严重，</w:t>
      </w:r>
      <w:r>
        <w:rPr>
          <w:rFonts w:ascii="宋体" w:hAnsi="宋体"/>
        </w:rPr>
        <w:t>正常的发放周期一般是半年，但2012年底仅发放截至2011年4月的补贴</w:t>
      </w:r>
      <w:r>
        <w:rPr>
          <w:rFonts w:ascii="宋体" w:hAnsi="宋体" w:hint="eastAsia"/>
        </w:rPr>
        <w:t>，相差一年半的时间，已经造成严重拖欠。据《中国经营报》2013年9月报道，甘肃玉门某风电企业在2012年和2013年上半年未拿到的补贴已经超过了1亿元</w:t>
      </w:r>
      <w:r>
        <w:rPr>
          <w:rStyle w:val="FootnoteReference"/>
          <w:rFonts w:ascii="宋体" w:hAnsi="宋体" w:hint="eastAsia"/>
        </w:rPr>
        <w:footnoteReference w:id="5"/>
      </w:r>
      <w:r>
        <w:rPr>
          <w:rFonts w:ascii="宋体" w:hAnsi="宋体" w:hint="eastAsia"/>
        </w:rPr>
        <w:t>。</w:t>
      </w:r>
    </w:p>
    <w:p w:rsidR="00CA619C" w:rsidRDefault="00CA619C" w:rsidP="00CA619C">
      <w:pPr>
        <w:pStyle w:val="Heading2"/>
        <w:rPr>
          <w:rFonts w:hint="eastAsia"/>
        </w:rPr>
      </w:pPr>
      <w:bookmarkStart w:id="10" w:name="_Toc392853107"/>
      <w:r>
        <w:rPr>
          <w:rFonts w:hint="eastAsia"/>
        </w:rPr>
        <w:t>产业发展融入常规能源系统时需要一系列配套支持</w:t>
      </w:r>
      <w:bookmarkEnd w:id="10"/>
    </w:p>
    <w:p w:rsidR="00CA619C" w:rsidRDefault="00CA619C" w:rsidP="00CA619C">
      <w:pPr>
        <w:ind w:firstLine="480"/>
        <w:rPr>
          <w:rFonts w:ascii="宋体" w:hAnsi="宋体" w:hint="eastAsia"/>
        </w:rPr>
      </w:pPr>
      <w:r>
        <w:rPr>
          <w:rFonts w:ascii="宋体" w:hAnsi="宋体" w:hint="eastAsia"/>
        </w:rPr>
        <w:t>新兴能源产业一个最大的特点，也是其发展面临的最大问题，就是在进入市场的过程中，较难融入目前的以常规能源的主的能源系统，面临如何与现有的能源系统融合问题。例如，风电、光伏等新能源与电网之间的匹配问题：一方面，相比传统能源，风电、光伏发电具有随机性和间歇性，而且随机出现的间歇性电力对受端系统动态稳定有较大程度的影响，对基于传统能源建设的电网在安全性上有一定挑战，所以在传统电网模式下新能源发电相对于传统能源有自然的劣势，需要电网做出相应的升级；另一方面，风电、光伏等新能源虽然相比传统化石能源具有清洁性这一优势，但现行电价体系和机制却不能体现出这一区别，不适应清洁能源科学发展的需求。</w:t>
      </w:r>
    </w:p>
    <w:p w:rsidR="00CA619C" w:rsidRDefault="00CA619C" w:rsidP="00CA619C">
      <w:pPr>
        <w:ind w:firstLine="480"/>
        <w:rPr>
          <w:rFonts w:ascii="宋体" w:hAnsi="宋体" w:hint="eastAsia"/>
        </w:rPr>
      </w:pPr>
      <w:r>
        <w:rPr>
          <w:rFonts w:ascii="宋体" w:hAnsi="宋体" w:hint="eastAsia"/>
        </w:rPr>
        <w:t>新兴能源产业由于与传统常规能源系统的不匹配问题，其发展不仅是需要补贴，也需要一系列的配套支持，例如：电网的规划要与新能源规划匹配，建设适应新能源发展的新型电网；加快跨区输电通道建设，扩大“三北”新能源消纳范围，保障全国新能源规划目标的实现；加快抽水蓄能电站建设，提升系统运行灵活性，提高新能源消纳水平；完善电价体系和电价形成机制，突出新能源发电的清洁性优势；完善电网收购可再生能源发电的政策法规等。</w:t>
      </w:r>
    </w:p>
    <w:p w:rsidR="00CA619C" w:rsidRDefault="00CA619C" w:rsidP="00CA619C">
      <w:pPr>
        <w:ind w:firstLine="480"/>
        <w:sectPr w:rsidR="00CA619C">
          <w:headerReference w:type="even" r:id="rId18"/>
          <w:headerReference w:type="default" r:id="rId19"/>
          <w:footerReference w:type="even" r:id="rId20"/>
          <w:footerReference w:type="default" r:id="rId21"/>
          <w:headerReference w:type="first" r:id="rId22"/>
          <w:footerReference w:type="first" r:id="rId23"/>
          <w:pgSz w:w="11906" w:h="16838"/>
          <w:pgMar w:top="1091" w:right="1286" w:bottom="1090" w:left="1440" w:header="851" w:footer="992" w:gutter="0"/>
          <w:cols w:space="720"/>
          <w:docGrid w:type="lines" w:linePitch="312"/>
        </w:sectPr>
      </w:pPr>
    </w:p>
    <w:p w:rsidR="00CA619C" w:rsidRDefault="00CA619C" w:rsidP="00CA619C">
      <w:pPr>
        <w:ind w:firstLine="480"/>
        <w:rPr>
          <w:rFonts w:hint="eastAsia"/>
        </w:rPr>
      </w:pPr>
    </w:p>
    <w:p w:rsidR="00CA619C" w:rsidRDefault="00CA619C" w:rsidP="00CA619C">
      <w:pPr>
        <w:pStyle w:val="Heading1"/>
        <w:rPr>
          <w:rFonts w:hint="eastAsia"/>
        </w:rPr>
      </w:pPr>
      <w:bookmarkStart w:id="11" w:name="_Toc28811"/>
      <w:bookmarkStart w:id="12" w:name="_Toc392853108"/>
      <w:r>
        <w:rPr>
          <w:rFonts w:hint="eastAsia"/>
        </w:rPr>
        <w:t>国内外新兴能源产业发展现状及技术水平</w:t>
      </w:r>
      <w:bookmarkEnd w:id="11"/>
      <w:bookmarkEnd w:id="12"/>
    </w:p>
    <w:p w:rsidR="00CA619C" w:rsidRDefault="00CA619C" w:rsidP="00CA619C">
      <w:pPr>
        <w:pStyle w:val="Heading2"/>
        <w:tabs>
          <w:tab w:val="clear" w:pos="575"/>
          <w:tab w:val="left" w:pos="432"/>
        </w:tabs>
        <w:rPr>
          <w:rFonts w:ascii="宋体" w:hAnsi="宋体" w:hint="eastAsia"/>
        </w:rPr>
      </w:pPr>
      <w:bookmarkStart w:id="13" w:name="_Toc392853109"/>
      <w:r>
        <w:rPr>
          <w:rFonts w:ascii="宋体" w:hAnsi="宋体" w:hint="eastAsia"/>
        </w:rPr>
        <w:t>风电</w:t>
      </w:r>
      <w:bookmarkEnd w:id="13"/>
    </w:p>
    <w:p w:rsidR="00CA619C" w:rsidRDefault="00CA619C" w:rsidP="00CA619C">
      <w:pPr>
        <w:pStyle w:val="Heading3"/>
        <w:numPr>
          <w:ilvl w:val="2"/>
          <w:numId w:val="1"/>
        </w:numPr>
        <w:tabs>
          <w:tab w:val="clear" w:pos="720"/>
        </w:tabs>
        <w:rPr>
          <w:rFonts w:hint="eastAsia"/>
        </w:rPr>
      </w:pPr>
      <w:bookmarkStart w:id="14" w:name="_Toc392853110"/>
      <w:r>
        <w:rPr>
          <w:rFonts w:hint="eastAsia"/>
        </w:rPr>
        <w:t>世界风电产业发展现状与技术水平</w:t>
      </w:r>
      <w:bookmarkEnd w:id="14"/>
    </w:p>
    <w:p w:rsidR="00CA619C" w:rsidRDefault="00CA619C" w:rsidP="00CA619C">
      <w:pPr>
        <w:pStyle w:val="Heading4"/>
        <w:tabs>
          <w:tab w:val="left" w:pos="864"/>
        </w:tabs>
        <w:rPr>
          <w:rFonts w:hint="eastAsia"/>
        </w:rPr>
      </w:pPr>
      <w:r>
        <w:rPr>
          <w:rFonts w:hint="eastAsia"/>
        </w:rPr>
        <w:t>世界风电产业现状</w:t>
      </w:r>
    </w:p>
    <w:p w:rsidR="00CA619C" w:rsidRDefault="00CA619C" w:rsidP="00CA619C">
      <w:pPr>
        <w:ind w:firstLine="480"/>
        <w:rPr>
          <w:rFonts w:hint="eastAsia"/>
        </w:rPr>
      </w:pPr>
      <w:r>
        <w:rPr>
          <w:rFonts w:hint="eastAsia"/>
        </w:rPr>
        <w:t>根据全球风能理事会（</w:t>
      </w:r>
      <w:r>
        <w:rPr>
          <w:rFonts w:hint="eastAsia"/>
        </w:rPr>
        <w:t>GWEC</w:t>
      </w:r>
      <w:r>
        <w:rPr>
          <w:rFonts w:hint="eastAsia"/>
        </w:rPr>
        <w:t>）发布的</w:t>
      </w:r>
      <w:r>
        <w:rPr>
          <w:rFonts w:hint="eastAsia"/>
        </w:rPr>
        <w:t>2013</w:t>
      </w:r>
      <w:r>
        <w:rPr>
          <w:rFonts w:hint="eastAsia"/>
        </w:rPr>
        <w:t>年全球风电统计快报数据，截至</w:t>
      </w:r>
      <w:r>
        <w:rPr>
          <w:rFonts w:hint="eastAsia"/>
        </w:rPr>
        <w:t>2013</w:t>
      </w:r>
      <w:r>
        <w:rPr>
          <w:rFonts w:hint="eastAsia"/>
        </w:rPr>
        <w:t>年底，全球风电累计装机容量达到</w:t>
      </w:r>
      <w:r>
        <w:rPr>
          <w:rFonts w:hint="eastAsia"/>
        </w:rPr>
        <w:t>3.18</w:t>
      </w:r>
      <w:r>
        <w:rPr>
          <w:rFonts w:hint="eastAsia"/>
        </w:rPr>
        <w:t>亿千瓦，排名前五位依次为中国、美国、德国、西班牙、印度。其中</w:t>
      </w:r>
      <w:r>
        <w:rPr>
          <w:rFonts w:hint="eastAsia"/>
        </w:rPr>
        <w:t>2013</w:t>
      </w:r>
      <w:r>
        <w:rPr>
          <w:rFonts w:hint="eastAsia"/>
        </w:rPr>
        <w:t>年全球新增风电装机</w:t>
      </w:r>
      <w:r>
        <w:rPr>
          <w:rFonts w:hint="eastAsia"/>
        </w:rPr>
        <w:t>3547</w:t>
      </w:r>
      <w:r>
        <w:rPr>
          <w:rFonts w:hint="eastAsia"/>
        </w:rPr>
        <w:t>万千瓦，同比下降约</w:t>
      </w:r>
      <w:r>
        <w:rPr>
          <w:rFonts w:hint="eastAsia"/>
        </w:rPr>
        <w:t>1000</w:t>
      </w:r>
      <w:r>
        <w:rPr>
          <w:rFonts w:hint="eastAsia"/>
        </w:rPr>
        <w:t>万千瓦。新增装机容量排名前五位国家分别是中国、德国、英国、印度、加拿大。</w:t>
      </w:r>
    </w:p>
    <w:p w:rsidR="00CA619C" w:rsidRDefault="00CA619C" w:rsidP="00CA619C">
      <w:pPr>
        <w:pStyle w:val="a"/>
      </w:pPr>
      <w:bookmarkStart w:id="15" w:name="_Toc29880"/>
      <w:bookmarkStart w:id="16" w:name="_Toc16230"/>
      <w:bookmarkStart w:id="17" w:name="_Toc392853321"/>
      <w:r>
        <w:rPr>
          <w:rFonts w:hint="eastAsia"/>
        </w:rPr>
        <w:t>2013</w:t>
      </w:r>
      <w:r>
        <w:rPr>
          <w:rFonts w:hint="eastAsia"/>
        </w:rPr>
        <w:t>年全球累计及新增风电装机排名前十位国家</w:t>
      </w:r>
      <w:bookmarkStart w:id="18" w:name="_Toc15946"/>
      <w:bookmarkEnd w:id="15"/>
      <w:bookmarkEnd w:id="16"/>
      <w:bookmarkEnd w:id="17"/>
      <w:bookmarkEnd w:id="18"/>
    </w:p>
    <w:tbl>
      <w:tblPr>
        <w:tblStyle w:val="TableTheme"/>
        <w:tblW w:w="0" w:type="auto"/>
        <w:tblLayout w:type="fixed"/>
        <w:tblLook w:val="0000" w:firstRow="0" w:lastRow="0" w:firstColumn="0" w:lastColumn="0" w:noHBand="0" w:noVBand="0"/>
      </w:tblPr>
      <w:tblGrid>
        <w:gridCol w:w="909"/>
        <w:gridCol w:w="1531"/>
        <w:gridCol w:w="2415"/>
        <w:gridCol w:w="910"/>
        <w:gridCol w:w="1218"/>
        <w:gridCol w:w="2413"/>
      </w:tblGrid>
      <w:tr w:rsidR="00CA619C" w:rsidTr="00CA619C">
        <w:trPr>
          <w:trHeight w:val="315"/>
        </w:trPr>
        <w:tc>
          <w:tcPr>
            <w:tcW w:w="4855" w:type="dxa"/>
            <w:gridSpan w:val="3"/>
          </w:tcPr>
          <w:p w:rsidR="00CA619C" w:rsidRDefault="00CA619C" w:rsidP="00CA619C">
            <w:pPr>
              <w:widowControl/>
              <w:spacing w:line="240" w:lineRule="auto"/>
              <w:ind w:firstLineChars="0" w:firstLine="482"/>
              <w:jc w:val="center"/>
              <w:rPr>
                <w:b/>
                <w:bCs/>
                <w:kern w:val="0"/>
              </w:rPr>
            </w:pPr>
            <w:r>
              <w:rPr>
                <w:b/>
                <w:bCs/>
                <w:kern w:val="0"/>
              </w:rPr>
              <w:t>2013</w:t>
            </w:r>
            <w:r>
              <w:rPr>
                <w:rFonts w:ascii="宋体" w:hAnsi="宋体" w:hint="eastAsia"/>
                <w:b/>
                <w:bCs/>
                <w:kern w:val="0"/>
              </w:rPr>
              <w:t>年新增装机</w:t>
            </w:r>
          </w:p>
        </w:tc>
        <w:tc>
          <w:tcPr>
            <w:tcW w:w="4541" w:type="dxa"/>
            <w:gridSpan w:val="3"/>
          </w:tcPr>
          <w:p w:rsidR="00CA619C" w:rsidRDefault="00CA619C" w:rsidP="00CA619C">
            <w:pPr>
              <w:widowControl/>
              <w:spacing w:line="240" w:lineRule="auto"/>
              <w:ind w:firstLineChars="0" w:firstLine="0"/>
              <w:jc w:val="center"/>
              <w:rPr>
                <w:b/>
                <w:bCs/>
                <w:kern w:val="0"/>
              </w:rPr>
            </w:pPr>
            <w:r>
              <w:rPr>
                <w:b/>
                <w:bCs/>
                <w:kern w:val="0"/>
              </w:rPr>
              <w:t>2013</w:t>
            </w:r>
            <w:r>
              <w:rPr>
                <w:rFonts w:ascii="宋体" w:hAnsi="宋体" w:hint="eastAsia"/>
                <w:b/>
                <w:bCs/>
                <w:kern w:val="0"/>
              </w:rPr>
              <w:t>年累计装机</w:t>
            </w:r>
          </w:p>
        </w:tc>
      </w:tr>
      <w:tr w:rsidR="00CA619C" w:rsidTr="00CA619C">
        <w:trPr>
          <w:trHeight w:val="885"/>
        </w:trPr>
        <w:tc>
          <w:tcPr>
            <w:tcW w:w="909" w:type="dxa"/>
          </w:tcPr>
          <w:p w:rsidR="00CA619C" w:rsidRDefault="00CA619C" w:rsidP="00CA619C">
            <w:pPr>
              <w:widowControl/>
              <w:spacing w:line="240" w:lineRule="auto"/>
              <w:ind w:firstLineChars="0" w:firstLine="0"/>
              <w:jc w:val="center"/>
              <w:rPr>
                <w:rFonts w:ascii="宋体" w:hAnsi="宋体" w:cs="宋体"/>
                <w:b/>
                <w:bCs/>
                <w:kern w:val="0"/>
              </w:rPr>
            </w:pPr>
            <w:r>
              <w:rPr>
                <w:rFonts w:ascii="宋体" w:hAnsi="宋体" w:cs="宋体" w:hint="eastAsia"/>
                <w:b/>
                <w:bCs/>
                <w:kern w:val="0"/>
              </w:rPr>
              <w:t>排名</w:t>
            </w:r>
          </w:p>
        </w:tc>
        <w:tc>
          <w:tcPr>
            <w:tcW w:w="1531" w:type="dxa"/>
          </w:tcPr>
          <w:p w:rsidR="00CA619C" w:rsidRDefault="00CA619C" w:rsidP="00CA619C">
            <w:pPr>
              <w:widowControl/>
              <w:spacing w:line="240" w:lineRule="auto"/>
              <w:ind w:firstLineChars="0" w:firstLine="0"/>
              <w:jc w:val="center"/>
              <w:rPr>
                <w:rFonts w:ascii="宋体" w:hAnsi="宋体" w:cs="宋体"/>
                <w:b/>
                <w:bCs/>
                <w:kern w:val="0"/>
              </w:rPr>
            </w:pPr>
            <w:r>
              <w:rPr>
                <w:rFonts w:ascii="宋体" w:hAnsi="宋体" w:cs="宋体" w:hint="eastAsia"/>
                <w:b/>
                <w:bCs/>
                <w:kern w:val="0"/>
              </w:rPr>
              <w:t>国家</w:t>
            </w:r>
          </w:p>
        </w:tc>
        <w:tc>
          <w:tcPr>
            <w:tcW w:w="2415" w:type="dxa"/>
          </w:tcPr>
          <w:p w:rsidR="00CA619C" w:rsidRDefault="00CA619C" w:rsidP="00CA619C">
            <w:pPr>
              <w:widowControl/>
              <w:spacing w:line="240" w:lineRule="auto"/>
              <w:ind w:firstLineChars="0" w:firstLine="0"/>
              <w:jc w:val="center"/>
              <w:rPr>
                <w:rFonts w:ascii="宋体" w:hAnsi="宋体" w:cs="宋体"/>
                <w:b/>
                <w:bCs/>
                <w:kern w:val="0"/>
              </w:rPr>
            </w:pPr>
            <w:r>
              <w:rPr>
                <w:rFonts w:ascii="宋体" w:hAnsi="宋体" w:cs="宋体" w:hint="eastAsia"/>
                <w:b/>
                <w:bCs/>
                <w:kern w:val="0"/>
              </w:rPr>
              <w:t>容量（万</w:t>
            </w:r>
            <w:r>
              <w:rPr>
                <w:b/>
                <w:bCs/>
                <w:kern w:val="0"/>
              </w:rPr>
              <w:t>kW</w:t>
            </w:r>
            <w:r>
              <w:rPr>
                <w:rFonts w:ascii="宋体" w:hAnsi="宋体" w:cs="宋体" w:hint="eastAsia"/>
                <w:b/>
                <w:bCs/>
                <w:kern w:val="0"/>
              </w:rPr>
              <w:t>）</w:t>
            </w:r>
          </w:p>
        </w:tc>
        <w:tc>
          <w:tcPr>
            <w:tcW w:w="910" w:type="dxa"/>
          </w:tcPr>
          <w:p w:rsidR="00CA619C" w:rsidRDefault="00CA619C" w:rsidP="00CA619C">
            <w:pPr>
              <w:widowControl/>
              <w:spacing w:line="240" w:lineRule="auto"/>
              <w:ind w:firstLineChars="0" w:firstLine="0"/>
              <w:jc w:val="center"/>
              <w:rPr>
                <w:rFonts w:ascii="宋体" w:hAnsi="宋体" w:cs="宋体"/>
                <w:b/>
                <w:bCs/>
                <w:kern w:val="0"/>
              </w:rPr>
            </w:pPr>
            <w:r>
              <w:rPr>
                <w:rFonts w:ascii="宋体" w:hAnsi="宋体" w:cs="宋体" w:hint="eastAsia"/>
                <w:b/>
                <w:bCs/>
                <w:kern w:val="0"/>
              </w:rPr>
              <w:t>排名</w:t>
            </w:r>
          </w:p>
        </w:tc>
        <w:tc>
          <w:tcPr>
            <w:tcW w:w="1218" w:type="dxa"/>
          </w:tcPr>
          <w:p w:rsidR="00CA619C" w:rsidRDefault="00CA619C" w:rsidP="00CA619C">
            <w:pPr>
              <w:widowControl/>
              <w:spacing w:line="240" w:lineRule="auto"/>
              <w:ind w:firstLineChars="0" w:firstLine="0"/>
              <w:jc w:val="center"/>
              <w:rPr>
                <w:rFonts w:ascii="宋体" w:hAnsi="宋体" w:cs="宋体"/>
                <w:b/>
                <w:bCs/>
                <w:kern w:val="0"/>
              </w:rPr>
            </w:pPr>
            <w:r>
              <w:rPr>
                <w:rFonts w:ascii="宋体" w:hAnsi="宋体" w:cs="宋体" w:hint="eastAsia"/>
                <w:b/>
                <w:bCs/>
                <w:kern w:val="0"/>
              </w:rPr>
              <w:t>国家</w:t>
            </w:r>
          </w:p>
        </w:tc>
        <w:tc>
          <w:tcPr>
            <w:tcW w:w="2413" w:type="dxa"/>
          </w:tcPr>
          <w:p w:rsidR="00CA619C" w:rsidRDefault="00CA619C" w:rsidP="00CA619C">
            <w:pPr>
              <w:widowControl/>
              <w:spacing w:line="240" w:lineRule="auto"/>
              <w:ind w:firstLineChars="0" w:firstLine="0"/>
              <w:jc w:val="center"/>
              <w:rPr>
                <w:rFonts w:ascii="宋体" w:hAnsi="宋体" w:cs="宋体"/>
                <w:b/>
                <w:bCs/>
                <w:kern w:val="0"/>
              </w:rPr>
            </w:pPr>
            <w:r>
              <w:rPr>
                <w:rFonts w:ascii="宋体" w:hAnsi="宋体" w:cs="宋体" w:hint="eastAsia"/>
                <w:b/>
                <w:bCs/>
                <w:kern w:val="0"/>
              </w:rPr>
              <w:t>容量（万</w:t>
            </w:r>
            <w:r>
              <w:rPr>
                <w:b/>
                <w:bCs/>
                <w:kern w:val="0"/>
              </w:rPr>
              <w:t>kW</w:t>
            </w:r>
            <w:r>
              <w:rPr>
                <w:rFonts w:ascii="宋体" w:hAnsi="宋体" w:cs="宋体" w:hint="eastAsia"/>
                <w:b/>
                <w:bCs/>
                <w:kern w:val="0"/>
              </w:rPr>
              <w:t>）</w:t>
            </w:r>
          </w:p>
        </w:tc>
      </w:tr>
      <w:tr w:rsidR="00CA619C" w:rsidTr="00CA619C">
        <w:trPr>
          <w:trHeight w:val="315"/>
        </w:trPr>
        <w:tc>
          <w:tcPr>
            <w:tcW w:w="909" w:type="dxa"/>
          </w:tcPr>
          <w:p w:rsidR="00CA619C" w:rsidRDefault="00CA619C" w:rsidP="00CA619C">
            <w:pPr>
              <w:widowControl/>
              <w:spacing w:line="240" w:lineRule="auto"/>
              <w:ind w:firstLineChars="0" w:firstLine="0"/>
              <w:jc w:val="center"/>
              <w:rPr>
                <w:kern w:val="0"/>
              </w:rPr>
            </w:pPr>
            <w:r>
              <w:rPr>
                <w:kern w:val="0"/>
              </w:rPr>
              <w:t>1</w:t>
            </w:r>
          </w:p>
        </w:tc>
        <w:tc>
          <w:tcPr>
            <w:tcW w:w="1531" w:type="dxa"/>
          </w:tcPr>
          <w:p w:rsidR="00CA619C" w:rsidRDefault="00CA619C" w:rsidP="00CA619C">
            <w:pPr>
              <w:widowControl/>
              <w:spacing w:line="240" w:lineRule="auto"/>
              <w:ind w:firstLineChars="0" w:firstLine="0"/>
              <w:jc w:val="center"/>
              <w:rPr>
                <w:rFonts w:ascii="宋体" w:hAnsi="宋体" w:cs="宋体"/>
                <w:kern w:val="0"/>
              </w:rPr>
            </w:pPr>
            <w:r>
              <w:rPr>
                <w:rFonts w:ascii="宋体" w:hAnsi="宋体" w:cs="宋体" w:hint="eastAsia"/>
                <w:kern w:val="0"/>
              </w:rPr>
              <w:t>中国</w:t>
            </w:r>
          </w:p>
        </w:tc>
        <w:tc>
          <w:tcPr>
            <w:tcW w:w="2415" w:type="dxa"/>
          </w:tcPr>
          <w:p w:rsidR="00CA619C" w:rsidRDefault="00CA619C" w:rsidP="00CA619C">
            <w:pPr>
              <w:widowControl/>
              <w:spacing w:line="240" w:lineRule="auto"/>
              <w:ind w:firstLineChars="0" w:firstLine="0"/>
              <w:jc w:val="center"/>
              <w:rPr>
                <w:kern w:val="0"/>
              </w:rPr>
            </w:pPr>
            <w:r>
              <w:rPr>
                <w:kern w:val="0"/>
              </w:rPr>
              <w:t>1610</w:t>
            </w:r>
          </w:p>
        </w:tc>
        <w:tc>
          <w:tcPr>
            <w:tcW w:w="910" w:type="dxa"/>
          </w:tcPr>
          <w:p w:rsidR="00CA619C" w:rsidRDefault="00CA619C" w:rsidP="00CA619C">
            <w:pPr>
              <w:widowControl/>
              <w:spacing w:line="240" w:lineRule="auto"/>
              <w:ind w:firstLineChars="0" w:firstLine="0"/>
              <w:jc w:val="center"/>
              <w:rPr>
                <w:kern w:val="0"/>
              </w:rPr>
            </w:pPr>
            <w:r>
              <w:rPr>
                <w:kern w:val="0"/>
              </w:rPr>
              <w:t>1</w:t>
            </w:r>
          </w:p>
        </w:tc>
        <w:tc>
          <w:tcPr>
            <w:tcW w:w="1218" w:type="dxa"/>
          </w:tcPr>
          <w:p w:rsidR="00CA619C" w:rsidRDefault="00CA619C" w:rsidP="00CA619C">
            <w:pPr>
              <w:widowControl/>
              <w:spacing w:line="240" w:lineRule="auto"/>
              <w:ind w:firstLineChars="0" w:firstLine="0"/>
              <w:jc w:val="center"/>
              <w:rPr>
                <w:rFonts w:ascii="宋体" w:hAnsi="宋体" w:cs="宋体"/>
                <w:kern w:val="0"/>
              </w:rPr>
            </w:pPr>
            <w:r>
              <w:rPr>
                <w:rFonts w:ascii="宋体" w:hAnsi="宋体" w:cs="宋体" w:hint="eastAsia"/>
                <w:kern w:val="0"/>
              </w:rPr>
              <w:t>中国</w:t>
            </w:r>
          </w:p>
        </w:tc>
        <w:tc>
          <w:tcPr>
            <w:tcW w:w="2413" w:type="dxa"/>
          </w:tcPr>
          <w:p w:rsidR="00CA619C" w:rsidRDefault="00CA619C" w:rsidP="00CA619C">
            <w:pPr>
              <w:widowControl/>
              <w:spacing w:line="240" w:lineRule="auto"/>
              <w:ind w:firstLineChars="0" w:firstLine="0"/>
              <w:jc w:val="center"/>
              <w:rPr>
                <w:kern w:val="0"/>
              </w:rPr>
            </w:pPr>
            <w:r>
              <w:rPr>
                <w:kern w:val="0"/>
              </w:rPr>
              <w:t>9142</w:t>
            </w:r>
          </w:p>
        </w:tc>
      </w:tr>
      <w:tr w:rsidR="00CA619C" w:rsidTr="00CA619C">
        <w:trPr>
          <w:trHeight w:val="315"/>
        </w:trPr>
        <w:tc>
          <w:tcPr>
            <w:tcW w:w="909" w:type="dxa"/>
          </w:tcPr>
          <w:p w:rsidR="00CA619C" w:rsidRDefault="00CA619C" w:rsidP="00CA619C">
            <w:pPr>
              <w:widowControl/>
              <w:spacing w:line="240" w:lineRule="auto"/>
              <w:ind w:firstLineChars="0" w:firstLine="0"/>
              <w:jc w:val="center"/>
              <w:rPr>
                <w:kern w:val="0"/>
              </w:rPr>
            </w:pPr>
            <w:r>
              <w:rPr>
                <w:kern w:val="0"/>
              </w:rPr>
              <w:t>2</w:t>
            </w:r>
          </w:p>
        </w:tc>
        <w:tc>
          <w:tcPr>
            <w:tcW w:w="1531" w:type="dxa"/>
          </w:tcPr>
          <w:p w:rsidR="00CA619C" w:rsidRDefault="00CA619C" w:rsidP="00CA619C">
            <w:pPr>
              <w:widowControl/>
              <w:spacing w:line="240" w:lineRule="auto"/>
              <w:ind w:firstLineChars="0" w:firstLine="0"/>
              <w:jc w:val="center"/>
              <w:rPr>
                <w:rFonts w:ascii="宋体" w:hAnsi="宋体" w:cs="宋体"/>
                <w:kern w:val="0"/>
              </w:rPr>
            </w:pPr>
            <w:r>
              <w:rPr>
                <w:rFonts w:ascii="宋体" w:hAnsi="宋体" w:cs="宋体" w:hint="eastAsia"/>
                <w:kern w:val="0"/>
              </w:rPr>
              <w:t>德国</w:t>
            </w:r>
          </w:p>
        </w:tc>
        <w:tc>
          <w:tcPr>
            <w:tcW w:w="2415" w:type="dxa"/>
          </w:tcPr>
          <w:p w:rsidR="00CA619C" w:rsidRDefault="00CA619C" w:rsidP="00CA619C">
            <w:pPr>
              <w:widowControl/>
              <w:spacing w:line="240" w:lineRule="auto"/>
              <w:ind w:firstLineChars="0" w:firstLine="0"/>
              <w:jc w:val="center"/>
              <w:rPr>
                <w:kern w:val="0"/>
              </w:rPr>
            </w:pPr>
            <w:r>
              <w:rPr>
                <w:kern w:val="0"/>
              </w:rPr>
              <w:t>324</w:t>
            </w:r>
          </w:p>
        </w:tc>
        <w:tc>
          <w:tcPr>
            <w:tcW w:w="910" w:type="dxa"/>
          </w:tcPr>
          <w:p w:rsidR="00CA619C" w:rsidRDefault="00CA619C" w:rsidP="00CA619C">
            <w:pPr>
              <w:widowControl/>
              <w:spacing w:line="240" w:lineRule="auto"/>
              <w:ind w:firstLineChars="0" w:firstLine="0"/>
              <w:jc w:val="center"/>
              <w:rPr>
                <w:kern w:val="0"/>
              </w:rPr>
            </w:pPr>
            <w:r>
              <w:rPr>
                <w:kern w:val="0"/>
              </w:rPr>
              <w:t>2</w:t>
            </w:r>
          </w:p>
        </w:tc>
        <w:tc>
          <w:tcPr>
            <w:tcW w:w="1218" w:type="dxa"/>
          </w:tcPr>
          <w:p w:rsidR="00CA619C" w:rsidRDefault="00CA619C" w:rsidP="00CA619C">
            <w:pPr>
              <w:widowControl/>
              <w:spacing w:line="240" w:lineRule="auto"/>
              <w:ind w:firstLineChars="0" w:firstLine="0"/>
              <w:jc w:val="center"/>
              <w:rPr>
                <w:rFonts w:ascii="宋体" w:hAnsi="宋体" w:cs="宋体"/>
                <w:kern w:val="0"/>
              </w:rPr>
            </w:pPr>
            <w:r>
              <w:rPr>
                <w:rFonts w:ascii="宋体" w:hAnsi="宋体" w:cs="宋体" w:hint="eastAsia"/>
                <w:kern w:val="0"/>
              </w:rPr>
              <w:t>美国</w:t>
            </w:r>
          </w:p>
        </w:tc>
        <w:tc>
          <w:tcPr>
            <w:tcW w:w="2413" w:type="dxa"/>
          </w:tcPr>
          <w:p w:rsidR="00CA619C" w:rsidRDefault="00CA619C" w:rsidP="00CA619C">
            <w:pPr>
              <w:widowControl/>
              <w:spacing w:line="240" w:lineRule="auto"/>
              <w:ind w:firstLineChars="0" w:firstLine="0"/>
              <w:jc w:val="center"/>
              <w:rPr>
                <w:kern w:val="0"/>
              </w:rPr>
            </w:pPr>
            <w:r>
              <w:rPr>
                <w:kern w:val="0"/>
              </w:rPr>
              <w:t>6109</w:t>
            </w:r>
          </w:p>
        </w:tc>
      </w:tr>
      <w:tr w:rsidR="00CA619C" w:rsidTr="00CA619C">
        <w:trPr>
          <w:trHeight w:val="315"/>
        </w:trPr>
        <w:tc>
          <w:tcPr>
            <w:tcW w:w="909" w:type="dxa"/>
          </w:tcPr>
          <w:p w:rsidR="00CA619C" w:rsidRDefault="00CA619C" w:rsidP="00CA619C">
            <w:pPr>
              <w:widowControl/>
              <w:spacing w:line="240" w:lineRule="auto"/>
              <w:ind w:firstLineChars="0" w:firstLine="0"/>
              <w:jc w:val="center"/>
              <w:rPr>
                <w:kern w:val="0"/>
              </w:rPr>
            </w:pPr>
            <w:r>
              <w:rPr>
                <w:kern w:val="0"/>
              </w:rPr>
              <w:t>3</w:t>
            </w:r>
          </w:p>
        </w:tc>
        <w:tc>
          <w:tcPr>
            <w:tcW w:w="1531" w:type="dxa"/>
          </w:tcPr>
          <w:p w:rsidR="00CA619C" w:rsidRDefault="00CA619C" w:rsidP="00CA619C">
            <w:pPr>
              <w:widowControl/>
              <w:spacing w:line="240" w:lineRule="auto"/>
              <w:ind w:firstLineChars="0" w:firstLine="0"/>
              <w:jc w:val="center"/>
              <w:rPr>
                <w:rFonts w:ascii="宋体" w:hAnsi="宋体" w:cs="宋体"/>
                <w:kern w:val="0"/>
              </w:rPr>
            </w:pPr>
            <w:r>
              <w:rPr>
                <w:rFonts w:ascii="宋体" w:hAnsi="宋体" w:cs="宋体" w:hint="eastAsia"/>
                <w:kern w:val="0"/>
              </w:rPr>
              <w:t>英国</w:t>
            </w:r>
          </w:p>
        </w:tc>
        <w:tc>
          <w:tcPr>
            <w:tcW w:w="2415" w:type="dxa"/>
          </w:tcPr>
          <w:p w:rsidR="00CA619C" w:rsidRDefault="00CA619C" w:rsidP="00CA619C">
            <w:pPr>
              <w:widowControl/>
              <w:spacing w:line="240" w:lineRule="auto"/>
              <w:ind w:firstLineChars="0" w:firstLine="0"/>
              <w:jc w:val="center"/>
              <w:rPr>
                <w:kern w:val="0"/>
              </w:rPr>
            </w:pPr>
            <w:r>
              <w:rPr>
                <w:kern w:val="0"/>
              </w:rPr>
              <w:t>188</w:t>
            </w:r>
          </w:p>
        </w:tc>
        <w:tc>
          <w:tcPr>
            <w:tcW w:w="910" w:type="dxa"/>
          </w:tcPr>
          <w:p w:rsidR="00CA619C" w:rsidRDefault="00CA619C" w:rsidP="00CA619C">
            <w:pPr>
              <w:widowControl/>
              <w:spacing w:line="240" w:lineRule="auto"/>
              <w:ind w:firstLineChars="0" w:firstLine="0"/>
              <w:jc w:val="center"/>
              <w:rPr>
                <w:kern w:val="0"/>
              </w:rPr>
            </w:pPr>
            <w:r>
              <w:rPr>
                <w:kern w:val="0"/>
              </w:rPr>
              <w:t>3</w:t>
            </w:r>
          </w:p>
        </w:tc>
        <w:tc>
          <w:tcPr>
            <w:tcW w:w="1218" w:type="dxa"/>
          </w:tcPr>
          <w:p w:rsidR="00CA619C" w:rsidRDefault="00CA619C" w:rsidP="00CA619C">
            <w:pPr>
              <w:widowControl/>
              <w:spacing w:line="240" w:lineRule="auto"/>
              <w:ind w:firstLineChars="0" w:firstLine="0"/>
              <w:jc w:val="center"/>
              <w:rPr>
                <w:rFonts w:ascii="宋体" w:hAnsi="宋体" w:cs="宋体"/>
                <w:kern w:val="0"/>
              </w:rPr>
            </w:pPr>
            <w:r>
              <w:rPr>
                <w:rFonts w:ascii="宋体" w:hAnsi="宋体" w:cs="宋体" w:hint="eastAsia"/>
                <w:kern w:val="0"/>
              </w:rPr>
              <w:t>德国</w:t>
            </w:r>
          </w:p>
        </w:tc>
        <w:tc>
          <w:tcPr>
            <w:tcW w:w="2413" w:type="dxa"/>
          </w:tcPr>
          <w:p w:rsidR="00CA619C" w:rsidRDefault="00CA619C" w:rsidP="00CA619C">
            <w:pPr>
              <w:widowControl/>
              <w:spacing w:line="240" w:lineRule="auto"/>
              <w:ind w:firstLineChars="0" w:firstLine="0"/>
              <w:jc w:val="center"/>
              <w:rPr>
                <w:kern w:val="0"/>
              </w:rPr>
            </w:pPr>
            <w:r>
              <w:rPr>
                <w:kern w:val="0"/>
              </w:rPr>
              <w:t>3425</w:t>
            </w:r>
          </w:p>
        </w:tc>
      </w:tr>
      <w:tr w:rsidR="00CA619C" w:rsidTr="00CA619C">
        <w:trPr>
          <w:trHeight w:val="315"/>
        </w:trPr>
        <w:tc>
          <w:tcPr>
            <w:tcW w:w="909" w:type="dxa"/>
          </w:tcPr>
          <w:p w:rsidR="00CA619C" w:rsidRDefault="00CA619C" w:rsidP="00CA619C">
            <w:pPr>
              <w:widowControl/>
              <w:spacing w:line="240" w:lineRule="auto"/>
              <w:ind w:firstLineChars="0" w:firstLine="0"/>
              <w:jc w:val="center"/>
              <w:rPr>
                <w:kern w:val="0"/>
              </w:rPr>
            </w:pPr>
            <w:r>
              <w:rPr>
                <w:kern w:val="0"/>
              </w:rPr>
              <w:t>4</w:t>
            </w:r>
          </w:p>
        </w:tc>
        <w:tc>
          <w:tcPr>
            <w:tcW w:w="1531" w:type="dxa"/>
          </w:tcPr>
          <w:p w:rsidR="00CA619C" w:rsidRDefault="00CA619C" w:rsidP="00CA619C">
            <w:pPr>
              <w:widowControl/>
              <w:spacing w:line="240" w:lineRule="auto"/>
              <w:ind w:firstLineChars="0" w:firstLine="0"/>
              <w:jc w:val="center"/>
              <w:rPr>
                <w:rFonts w:ascii="宋体" w:hAnsi="宋体" w:cs="宋体"/>
                <w:kern w:val="0"/>
              </w:rPr>
            </w:pPr>
            <w:r>
              <w:rPr>
                <w:rFonts w:ascii="宋体" w:hAnsi="宋体" w:cs="宋体" w:hint="eastAsia"/>
                <w:kern w:val="0"/>
              </w:rPr>
              <w:t>印度</w:t>
            </w:r>
          </w:p>
        </w:tc>
        <w:tc>
          <w:tcPr>
            <w:tcW w:w="2415" w:type="dxa"/>
          </w:tcPr>
          <w:p w:rsidR="00CA619C" w:rsidRDefault="00CA619C" w:rsidP="00CA619C">
            <w:pPr>
              <w:widowControl/>
              <w:spacing w:line="240" w:lineRule="auto"/>
              <w:ind w:firstLineChars="0" w:firstLine="0"/>
              <w:jc w:val="center"/>
              <w:rPr>
                <w:kern w:val="0"/>
              </w:rPr>
            </w:pPr>
            <w:r>
              <w:rPr>
                <w:kern w:val="0"/>
              </w:rPr>
              <w:t>173</w:t>
            </w:r>
          </w:p>
        </w:tc>
        <w:tc>
          <w:tcPr>
            <w:tcW w:w="910" w:type="dxa"/>
          </w:tcPr>
          <w:p w:rsidR="00CA619C" w:rsidRDefault="00CA619C" w:rsidP="00CA619C">
            <w:pPr>
              <w:widowControl/>
              <w:spacing w:line="240" w:lineRule="auto"/>
              <w:ind w:firstLineChars="0" w:firstLine="0"/>
              <w:jc w:val="center"/>
              <w:rPr>
                <w:kern w:val="0"/>
              </w:rPr>
            </w:pPr>
            <w:r>
              <w:rPr>
                <w:kern w:val="0"/>
              </w:rPr>
              <w:t>4</w:t>
            </w:r>
          </w:p>
        </w:tc>
        <w:tc>
          <w:tcPr>
            <w:tcW w:w="1218" w:type="dxa"/>
          </w:tcPr>
          <w:p w:rsidR="00CA619C" w:rsidRDefault="00CA619C" w:rsidP="00CA619C">
            <w:pPr>
              <w:widowControl/>
              <w:spacing w:line="240" w:lineRule="auto"/>
              <w:ind w:firstLineChars="0" w:firstLine="0"/>
              <w:jc w:val="center"/>
              <w:rPr>
                <w:rFonts w:ascii="宋体" w:hAnsi="宋体" w:cs="宋体"/>
                <w:kern w:val="0"/>
              </w:rPr>
            </w:pPr>
            <w:r>
              <w:rPr>
                <w:rFonts w:ascii="宋体" w:hAnsi="宋体" w:cs="宋体" w:hint="eastAsia"/>
                <w:kern w:val="0"/>
              </w:rPr>
              <w:t>西班牙</w:t>
            </w:r>
          </w:p>
        </w:tc>
        <w:tc>
          <w:tcPr>
            <w:tcW w:w="2413" w:type="dxa"/>
          </w:tcPr>
          <w:p w:rsidR="00CA619C" w:rsidRDefault="00CA619C" w:rsidP="00CA619C">
            <w:pPr>
              <w:widowControl/>
              <w:spacing w:line="240" w:lineRule="auto"/>
              <w:ind w:firstLineChars="0" w:firstLine="0"/>
              <w:jc w:val="center"/>
              <w:rPr>
                <w:kern w:val="0"/>
              </w:rPr>
            </w:pPr>
            <w:r>
              <w:rPr>
                <w:kern w:val="0"/>
              </w:rPr>
              <w:t>2296</w:t>
            </w:r>
          </w:p>
        </w:tc>
      </w:tr>
      <w:tr w:rsidR="00CA619C" w:rsidTr="00CA619C">
        <w:trPr>
          <w:trHeight w:val="315"/>
        </w:trPr>
        <w:tc>
          <w:tcPr>
            <w:tcW w:w="909" w:type="dxa"/>
          </w:tcPr>
          <w:p w:rsidR="00CA619C" w:rsidRDefault="00CA619C" w:rsidP="00CA619C">
            <w:pPr>
              <w:widowControl/>
              <w:spacing w:line="240" w:lineRule="auto"/>
              <w:ind w:firstLineChars="0" w:firstLine="0"/>
              <w:jc w:val="center"/>
              <w:rPr>
                <w:kern w:val="0"/>
              </w:rPr>
            </w:pPr>
            <w:r>
              <w:rPr>
                <w:kern w:val="0"/>
              </w:rPr>
              <w:t>5</w:t>
            </w:r>
          </w:p>
        </w:tc>
        <w:tc>
          <w:tcPr>
            <w:tcW w:w="1531" w:type="dxa"/>
          </w:tcPr>
          <w:p w:rsidR="00CA619C" w:rsidRDefault="00CA619C" w:rsidP="00CA619C">
            <w:pPr>
              <w:widowControl/>
              <w:spacing w:line="240" w:lineRule="auto"/>
              <w:ind w:firstLineChars="0" w:firstLine="0"/>
              <w:jc w:val="center"/>
              <w:rPr>
                <w:rFonts w:ascii="宋体" w:hAnsi="宋体" w:cs="宋体"/>
                <w:kern w:val="0"/>
              </w:rPr>
            </w:pPr>
            <w:r>
              <w:rPr>
                <w:rFonts w:ascii="宋体" w:hAnsi="宋体" w:cs="宋体" w:hint="eastAsia"/>
                <w:kern w:val="0"/>
              </w:rPr>
              <w:t>加拿大</w:t>
            </w:r>
          </w:p>
        </w:tc>
        <w:tc>
          <w:tcPr>
            <w:tcW w:w="2415" w:type="dxa"/>
          </w:tcPr>
          <w:p w:rsidR="00CA619C" w:rsidRDefault="00CA619C" w:rsidP="00CA619C">
            <w:pPr>
              <w:widowControl/>
              <w:spacing w:line="240" w:lineRule="auto"/>
              <w:ind w:firstLineChars="0" w:firstLine="0"/>
              <w:jc w:val="center"/>
              <w:rPr>
                <w:kern w:val="0"/>
              </w:rPr>
            </w:pPr>
            <w:r>
              <w:rPr>
                <w:kern w:val="0"/>
              </w:rPr>
              <w:t>160</w:t>
            </w:r>
          </w:p>
        </w:tc>
        <w:tc>
          <w:tcPr>
            <w:tcW w:w="910" w:type="dxa"/>
          </w:tcPr>
          <w:p w:rsidR="00CA619C" w:rsidRDefault="00CA619C" w:rsidP="00CA619C">
            <w:pPr>
              <w:widowControl/>
              <w:spacing w:line="240" w:lineRule="auto"/>
              <w:ind w:firstLineChars="0" w:firstLine="0"/>
              <w:jc w:val="center"/>
              <w:rPr>
                <w:kern w:val="0"/>
              </w:rPr>
            </w:pPr>
            <w:r>
              <w:rPr>
                <w:kern w:val="0"/>
              </w:rPr>
              <w:t>5</w:t>
            </w:r>
          </w:p>
        </w:tc>
        <w:tc>
          <w:tcPr>
            <w:tcW w:w="1218" w:type="dxa"/>
          </w:tcPr>
          <w:p w:rsidR="00CA619C" w:rsidRDefault="00CA619C" w:rsidP="00CA619C">
            <w:pPr>
              <w:widowControl/>
              <w:spacing w:line="240" w:lineRule="auto"/>
              <w:ind w:firstLineChars="0" w:firstLine="0"/>
              <w:jc w:val="center"/>
              <w:rPr>
                <w:rFonts w:ascii="宋体" w:hAnsi="宋体" w:cs="宋体"/>
                <w:kern w:val="0"/>
              </w:rPr>
            </w:pPr>
            <w:r>
              <w:rPr>
                <w:rFonts w:ascii="宋体" w:hAnsi="宋体" w:cs="宋体" w:hint="eastAsia"/>
                <w:kern w:val="0"/>
              </w:rPr>
              <w:t>印度</w:t>
            </w:r>
          </w:p>
        </w:tc>
        <w:tc>
          <w:tcPr>
            <w:tcW w:w="2413" w:type="dxa"/>
          </w:tcPr>
          <w:p w:rsidR="00CA619C" w:rsidRDefault="00CA619C" w:rsidP="00CA619C">
            <w:pPr>
              <w:widowControl/>
              <w:spacing w:line="240" w:lineRule="auto"/>
              <w:ind w:firstLineChars="0" w:firstLine="0"/>
              <w:jc w:val="center"/>
              <w:rPr>
                <w:kern w:val="0"/>
              </w:rPr>
            </w:pPr>
            <w:r>
              <w:rPr>
                <w:kern w:val="0"/>
              </w:rPr>
              <w:t>2015</w:t>
            </w:r>
          </w:p>
        </w:tc>
      </w:tr>
      <w:tr w:rsidR="00CA619C" w:rsidTr="00CA619C">
        <w:trPr>
          <w:trHeight w:val="315"/>
        </w:trPr>
        <w:tc>
          <w:tcPr>
            <w:tcW w:w="909" w:type="dxa"/>
          </w:tcPr>
          <w:p w:rsidR="00CA619C" w:rsidRDefault="00CA619C" w:rsidP="00CA619C">
            <w:pPr>
              <w:widowControl/>
              <w:spacing w:line="240" w:lineRule="auto"/>
              <w:ind w:firstLineChars="0" w:firstLine="0"/>
              <w:jc w:val="center"/>
              <w:rPr>
                <w:kern w:val="0"/>
              </w:rPr>
            </w:pPr>
            <w:r>
              <w:rPr>
                <w:kern w:val="0"/>
              </w:rPr>
              <w:t>6</w:t>
            </w:r>
          </w:p>
        </w:tc>
        <w:tc>
          <w:tcPr>
            <w:tcW w:w="1531" w:type="dxa"/>
          </w:tcPr>
          <w:p w:rsidR="00CA619C" w:rsidRDefault="00CA619C" w:rsidP="00CA619C">
            <w:pPr>
              <w:widowControl/>
              <w:spacing w:line="240" w:lineRule="auto"/>
              <w:ind w:firstLineChars="0" w:firstLine="0"/>
              <w:jc w:val="center"/>
              <w:rPr>
                <w:rFonts w:ascii="宋体" w:hAnsi="宋体" w:cs="宋体"/>
                <w:kern w:val="0"/>
              </w:rPr>
            </w:pPr>
            <w:r>
              <w:rPr>
                <w:rFonts w:ascii="宋体" w:hAnsi="宋体" w:cs="宋体" w:hint="eastAsia"/>
                <w:kern w:val="0"/>
              </w:rPr>
              <w:t>美国</w:t>
            </w:r>
          </w:p>
        </w:tc>
        <w:tc>
          <w:tcPr>
            <w:tcW w:w="2415" w:type="dxa"/>
          </w:tcPr>
          <w:p w:rsidR="00CA619C" w:rsidRDefault="00CA619C" w:rsidP="00CA619C">
            <w:pPr>
              <w:widowControl/>
              <w:spacing w:line="240" w:lineRule="auto"/>
              <w:ind w:firstLineChars="0" w:firstLine="0"/>
              <w:jc w:val="center"/>
              <w:rPr>
                <w:kern w:val="0"/>
              </w:rPr>
            </w:pPr>
            <w:r>
              <w:rPr>
                <w:kern w:val="0"/>
              </w:rPr>
              <w:t>108</w:t>
            </w:r>
          </w:p>
        </w:tc>
        <w:tc>
          <w:tcPr>
            <w:tcW w:w="910" w:type="dxa"/>
          </w:tcPr>
          <w:p w:rsidR="00CA619C" w:rsidRDefault="00CA619C" w:rsidP="00CA619C">
            <w:pPr>
              <w:widowControl/>
              <w:spacing w:line="240" w:lineRule="auto"/>
              <w:ind w:firstLineChars="0" w:firstLine="0"/>
              <w:jc w:val="center"/>
              <w:rPr>
                <w:kern w:val="0"/>
              </w:rPr>
            </w:pPr>
            <w:r>
              <w:rPr>
                <w:kern w:val="0"/>
              </w:rPr>
              <w:t>6</w:t>
            </w:r>
          </w:p>
        </w:tc>
        <w:tc>
          <w:tcPr>
            <w:tcW w:w="1218" w:type="dxa"/>
          </w:tcPr>
          <w:p w:rsidR="00CA619C" w:rsidRDefault="00CA619C" w:rsidP="00CA619C">
            <w:pPr>
              <w:widowControl/>
              <w:spacing w:line="240" w:lineRule="auto"/>
              <w:ind w:firstLineChars="0" w:firstLine="0"/>
              <w:jc w:val="center"/>
              <w:rPr>
                <w:rFonts w:ascii="宋体" w:hAnsi="宋体" w:cs="宋体"/>
                <w:kern w:val="0"/>
              </w:rPr>
            </w:pPr>
            <w:r>
              <w:rPr>
                <w:rFonts w:ascii="宋体" w:hAnsi="宋体" w:cs="宋体" w:hint="eastAsia"/>
                <w:kern w:val="0"/>
              </w:rPr>
              <w:t>英国</w:t>
            </w:r>
          </w:p>
        </w:tc>
        <w:tc>
          <w:tcPr>
            <w:tcW w:w="2413" w:type="dxa"/>
          </w:tcPr>
          <w:p w:rsidR="00CA619C" w:rsidRDefault="00CA619C" w:rsidP="00CA619C">
            <w:pPr>
              <w:widowControl/>
              <w:spacing w:line="240" w:lineRule="auto"/>
              <w:ind w:firstLineChars="0" w:firstLine="0"/>
              <w:jc w:val="center"/>
              <w:rPr>
                <w:kern w:val="0"/>
              </w:rPr>
            </w:pPr>
            <w:r>
              <w:rPr>
                <w:kern w:val="0"/>
              </w:rPr>
              <w:t>1053</w:t>
            </w:r>
          </w:p>
        </w:tc>
      </w:tr>
      <w:tr w:rsidR="00CA619C" w:rsidTr="00CA619C">
        <w:trPr>
          <w:trHeight w:val="315"/>
        </w:trPr>
        <w:tc>
          <w:tcPr>
            <w:tcW w:w="909" w:type="dxa"/>
          </w:tcPr>
          <w:p w:rsidR="00CA619C" w:rsidRDefault="00CA619C" w:rsidP="00CA619C">
            <w:pPr>
              <w:widowControl/>
              <w:spacing w:line="240" w:lineRule="auto"/>
              <w:ind w:firstLineChars="0" w:firstLine="0"/>
              <w:jc w:val="center"/>
              <w:rPr>
                <w:kern w:val="0"/>
              </w:rPr>
            </w:pPr>
            <w:r>
              <w:rPr>
                <w:kern w:val="0"/>
              </w:rPr>
              <w:t>7</w:t>
            </w:r>
          </w:p>
        </w:tc>
        <w:tc>
          <w:tcPr>
            <w:tcW w:w="1531" w:type="dxa"/>
          </w:tcPr>
          <w:p w:rsidR="00CA619C" w:rsidRDefault="00CA619C" w:rsidP="00CA619C">
            <w:pPr>
              <w:widowControl/>
              <w:spacing w:line="240" w:lineRule="auto"/>
              <w:ind w:firstLineChars="0" w:firstLine="0"/>
              <w:jc w:val="center"/>
              <w:rPr>
                <w:rFonts w:ascii="宋体" w:hAnsi="宋体" w:cs="宋体"/>
                <w:kern w:val="0"/>
              </w:rPr>
            </w:pPr>
            <w:r>
              <w:rPr>
                <w:rFonts w:ascii="宋体" w:hAnsi="宋体" w:cs="宋体" w:hint="eastAsia"/>
                <w:kern w:val="0"/>
              </w:rPr>
              <w:t>巴西</w:t>
            </w:r>
          </w:p>
        </w:tc>
        <w:tc>
          <w:tcPr>
            <w:tcW w:w="2415" w:type="dxa"/>
          </w:tcPr>
          <w:p w:rsidR="00CA619C" w:rsidRDefault="00CA619C" w:rsidP="00CA619C">
            <w:pPr>
              <w:widowControl/>
              <w:spacing w:line="240" w:lineRule="auto"/>
              <w:ind w:firstLineChars="0" w:firstLine="0"/>
              <w:jc w:val="center"/>
              <w:rPr>
                <w:kern w:val="0"/>
              </w:rPr>
            </w:pPr>
            <w:r>
              <w:rPr>
                <w:kern w:val="0"/>
              </w:rPr>
              <w:t>95</w:t>
            </w:r>
          </w:p>
        </w:tc>
        <w:tc>
          <w:tcPr>
            <w:tcW w:w="910" w:type="dxa"/>
          </w:tcPr>
          <w:p w:rsidR="00CA619C" w:rsidRDefault="00CA619C" w:rsidP="00CA619C">
            <w:pPr>
              <w:widowControl/>
              <w:spacing w:line="240" w:lineRule="auto"/>
              <w:ind w:firstLineChars="0" w:firstLine="0"/>
              <w:jc w:val="center"/>
              <w:rPr>
                <w:kern w:val="0"/>
              </w:rPr>
            </w:pPr>
            <w:r>
              <w:rPr>
                <w:kern w:val="0"/>
              </w:rPr>
              <w:t>7</w:t>
            </w:r>
          </w:p>
        </w:tc>
        <w:tc>
          <w:tcPr>
            <w:tcW w:w="1218" w:type="dxa"/>
          </w:tcPr>
          <w:p w:rsidR="00CA619C" w:rsidRDefault="00CA619C" w:rsidP="00CA619C">
            <w:pPr>
              <w:widowControl/>
              <w:spacing w:line="240" w:lineRule="auto"/>
              <w:ind w:firstLineChars="0" w:firstLine="0"/>
              <w:jc w:val="center"/>
              <w:rPr>
                <w:rFonts w:ascii="宋体" w:hAnsi="宋体" w:cs="宋体"/>
                <w:kern w:val="0"/>
              </w:rPr>
            </w:pPr>
            <w:r>
              <w:rPr>
                <w:rFonts w:ascii="宋体" w:hAnsi="宋体" w:cs="宋体" w:hint="eastAsia"/>
                <w:kern w:val="0"/>
              </w:rPr>
              <w:t>意大利</w:t>
            </w:r>
          </w:p>
        </w:tc>
        <w:tc>
          <w:tcPr>
            <w:tcW w:w="2413" w:type="dxa"/>
          </w:tcPr>
          <w:p w:rsidR="00CA619C" w:rsidRDefault="00CA619C" w:rsidP="00CA619C">
            <w:pPr>
              <w:widowControl/>
              <w:spacing w:line="240" w:lineRule="auto"/>
              <w:ind w:firstLineChars="0" w:firstLine="0"/>
              <w:jc w:val="center"/>
              <w:rPr>
                <w:kern w:val="0"/>
              </w:rPr>
            </w:pPr>
            <w:r>
              <w:rPr>
                <w:kern w:val="0"/>
              </w:rPr>
              <w:t>855</w:t>
            </w:r>
          </w:p>
        </w:tc>
      </w:tr>
      <w:tr w:rsidR="00CA619C" w:rsidTr="00CA619C">
        <w:trPr>
          <w:trHeight w:val="315"/>
        </w:trPr>
        <w:tc>
          <w:tcPr>
            <w:tcW w:w="909" w:type="dxa"/>
          </w:tcPr>
          <w:p w:rsidR="00CA619C" w:rsidRDefault="00CA619C" w:rsidP="00CA619C">
            <w:pPr>
              <w:widowControl/>
              <w:spacing w:line="240" w:lineRule="auto"/>
              <w:ind w:firstLineChars="0" w:firstLine="0"/>
              <w:jc w:val="center"/>
              <w:rPr>
                <w:kern w:val="0"/>
              </w:rPr>
            </w:pPr>
            <w:r>
              <w:rPr>
                <w:kern w:val="0"/>
              </w:rPr>
              <w:t>8</w:t>
            </w:r>
          </w:p>
        </w:tc>
        <w:tc>
          <w:tcPr>
            <w:tcW w:w="1531" w:type="dxa"/>
          </w:tcPr>
          <w:p w:rsidR="00CA619C" w:rsidRDefault="00CA619C" w:rsidP="00CA619C">
            <w:pPr>
              <w:widowControl/>
              <w:spacing w:line="240" w:lineRule="auto"/>
              <w:ind w:firstLineChars="0" w:firstLine="0"/>
              <w:jc w:val="center"/>
              <w:rPr>
                <w:rFonts w:ascii="宋体" w:hAnsi="宋体" w:cs="宋体"/>
                <w:kern w:val="0"/>
              </w:rPr>
            </w:pPr>
            <w:r>
              <w:rPr>
                <w:rFonts w:ascii="宋体" w:hAnsi="宋体" w:cs="宋体" w:hint="eastAsia"/>
                <w:kern w:val="0"/>
              </w:rPr>
              <w:t>波兰</w:t>
            </w:r>
          </w:p>
        </w:tc>
        <w:tc>
          <w:tcPr>
            <w:tcW w:w="2415" w:type="dxa"/>
          </w:tcPr>
          <w:p w:rsidR="00CA619C" w:rsidRDefault="00CA619C" w:rsidP="00CA619C">
            <w:pPr>
              <w:widowControl/>
              <w:spacing w:line="240" w:lineRule="auto"/>
              <w:ind w:firstLineChars="0" w:firstLine="0"/>
              <w:jc w:val="center"/>
              <w:rPr>
                <w:kern w:val="0"/>
              </w:rPr>
            </w:pPr>
            <w:r>
              <w:rPr>
                <w:kern w:val="0"/>
              </w:rPr>
              <w:t>89</w:t>
            </w:r>
          </w:p>
        </w:tc>
        <w:tc>
          <w:tcPr>
            <w:tcW w:w="910" w:type="dxa"/>
          </w:tcPr>
          <w:p w:rsidR="00CA619C" w:rsidRDefault="00CA619C" w:rsidP="00CA619C">
            <w:pPr>
              <w:widowControl/>
              <w:spacing w:line="240" w:lineRule="auto"/>
              <w:ind w:firstLineChars="0" w:firstLine="0"/>
              <w:jc w:val="center"/>
              <w:rPr>
                <w:kern w:val="0"/>
              </w:rPr>
            </w:pPr>
            <w:r>
              <w:rPr>
                <w:kern w:val="0"/>
              </w:rPr>
              <w:t>8</w:t>
            </w:r>
          </w:p>
        </w:tc>
        <w:tc>
          <w:tcPr>
            <w:tcW w:w="1218" w:type="dxa"/>
          </w:tcPr>
          <w:p w:rsidR="00CA619C" w:rsidRDefault="00CA619C" w:rsidP="00CA619C">
            <w:pPr>
              <w:widowControl/>
              <w:spacing w:line="240" w:lineRule="auto"/>
              <w:ind w:firstLineChars="0" w:firstLine="0"/>
              <w:jc w:val="center"/>
              <w:rPr>
                <w:rFonts w:ascii="宋体" w:hAnsi="宋体" w:cs="宋体"/>
                <w:kern w:val="0"/>
              </w:rPr>
            </w:pPr>
            <w:r>
              <w:rPr>
                <w:rFonts w:ascii="宋体" w:hAnsi="宋体" w:cs="宋体" w:hint="eastAsia"/>
                <w:kern w:val="0"/>
              </w:rPr>
              <w:t>法国</w:t>
            </w:r>
          </w:p>
        </w:tc>
        <w:tc>
          <w:tcPr>
            <w:tcW w:w="2413" w:type="dxa"/>
          </w:tcPr>
          <w:p w:rsidR="00CA619C" w:rsidRDefault="00CA619C" w:rsidP="00CA619C">
            <w:pPr>
              <w:widowControl/>
              <w:spacing w:line="240" w:lineRule="auto"/>
              <w:ind w:firstLineChars="0" w:firstLine="0"/>
              <w:jc w:val="center"/>
              <w:rPr>
                <w:kern w:val="0"/>
              </w:rPr>
            </w:pPr>
            <w:r>
              <w:rPr>
                <w:kern w:val="0"/>
              </w:rPr>
              <w:t>825</w:t>
            </w:r>
          </w:p>
        </w:tc>
      </w:tr>
      <w:tr w:rsidR="00CA619C" w:rsidTr="00CA619C">
        <w:trPr>
          <w:trHeight w:val="315"/>
        </w:trPr>
        <w:tc>
          <w:tcPr>
            <w:tcW w:w="909" w:type="dxa"/>
          </w:tcPr>
          <w:p w:rsidR="00CA619C" w:rsidRDefault="00CA619C" w:rsidP="00CA619C">
            <w:pPr>
              <w:widowControl/>
              <w:spacing w:line="240" w:lineRule="auto"/>
              <w:ind w:firstLineChars="0" w:firstLine="0"/>
              <w:jc w:val="center"/>
              <w:rPr>
                <w:kern w:val="0"/>
              </w:rPr>
            </w:pPr>
            <w:r>
              <w:rPr>
                <w:kern w:val="0"/>
              </w:rPr>
              <w:t>9</w:t>
            </w:r>
          </w:p>
        </w:tc>
        <w:tc>
          <w:tcPr>
            <w:tcW w:w="1531" w:type="dxa"/>
          </w:tcPr>
          <w:p w:rsidR="00CA619C" w:rsidRDefault="00CA619C" w:rsidP="00CA619C">
            <w:pPr>
              <w:widowControl/>
              <w:spacing w:line="240" w:lineRule="auto"/>
              <w:ind w:firstLineChars="0" w:firstLine="0"/>
              <w:jc w:val="center"/>
              <w:rPr>
                <w:rFonts w:ascii="宋体" w:hAnsi="宋体" w:cs="宋体"/>
                <w:kern w:val="0"/>
              </w:rPr>
            </w:pPr>
            <w:r>
              <w:rPr>
                <w:rFonts w:ascii="宋体" w:hAnsi="宋体" w:cs="宋体" w:hint="eastAsia"/>
                <w:kern w:val="0"/>
              </w:rPr>
              <w:t>瑞典</w:t>
            </w:r>
          </w:p>
        </w:tc>
        <w:tc>
          <w:tcPr>
            <w:tcW w:w="2415" w:type="dxa"/>
          </w:tcPr>
          <w:p w:rsidR="00CA619C" w:rsidRDefault="00CA619C" w:rsidP="00CA619C">
            <w:pPr>
              <w:widowControl/>
              <w:spacing w:line="240" w:lineRule="auto"/>
              <w:ind w:firstLineChars="0" w:firstLine="0"/>
              <w:jc w:val="center"/>
              <w:rPr>
                <w:kern w:val="0"/>
              </w:rPr>
            </w:pPr>
            <w:r>
              <w:rPr>
                <w:kern w:val="0"/>
              </w:rPr>
              <w:t>72</w:t>
            </w:r>
          </w:p>
        </w:tc>
        <w:tc>
          <w:tcPr>
            <w:tcW w:w="910" w:type="dxa"/>
          </w:tcPr>
          <w:p w:rsidR="00CA619C" w:rsidRDefault="00CA619C" w:rsidP="00CA619C">
            <w:pPr>
              <w:widowControl/>
              <w:spacing w:line="240" w:lineRule="auto"/>
              <w:ind w:firstLineChars="0" w:firstLine="0"/>
              <w:jc w:val="center"/>
              <w:rPr>
                <w:kern w:val="0"/>
              </w:rPr>
            </w:pPr>
            <w:r>
              <w:rPr>
                <w:kern w:val="0"/>
              </w:rPr>
              <w:t>9</w:t>
            </w:r>
          </w:p>
        </w:tc>
        <w:tc>
          <w:tcPr>
            <w:tcW w:w="1218" w:type="dxa"/>
          </w:tcPr>
          <w:p w:rsidR="00CA619C" w:rsidRDefault="00CA619C" w:rsidP="00CA619C">
            <w:pPr>
              <w:widowControl/>
              <w:spacing w:line="240" w:lineRule="auto"/>
              <w:ind w:firstLineChars="0" w:firstLine="0"/>
              <w:jc w:val="center"/>
              <w:rPr>
                <w:rFonts w:ascii="宋体" w:hAnsi="宋体" w:cs="宋体"/>
                <w:kern w:val="0"/>
              </w:rPr>
            </w:pPr>
            <w:r>
              <w:rPr>
                <w:rFonts w:ascii="宋体" w:hAnsi="宋体" w:cs="宋体" w:hint="eastAsia"/>
                <w:kern w:val="0"/>
              </w:rPr>
              <w:t>加拿大</w:t>
            </w:r>
          </w:p>
        </w:tc>
        <w:tc>
          <w:tcPr>
            <w:tcW w:w="2413" w:type="dxa"/>
          </w:tcPr>
          <w:p w:rsidR="00CA619C" w:rsidRDefault="00CA619C" w:rsidP="00CA619C">
            <w:pPr>
              <w:widowControl/>
              <w:spacing w:line="240" w:lineRule="auto"/>
              <w:ind w:firstLineChars="0" w:firstLine="0"/>
              <w:jc w:val="center"/>
              <w:rPr>
                <w:kern w:val="0"/>
              </w:rPr>
            </w:pPr>
            <w:r>
              <w:rPr>
                <w:kern w:val="0"/>
              </w:rPr>
              <w:t>780</w:t>
            </w:r>
          </w:p>
        </w:tc>
      </w:tr>
      <w:tr w:rsidR="00CA619C" w:rsidTr="00CA619C">
        <w:trPr>
          <w:trHeight w:val="315"/>
        </w:trPr>
        <w:tc>
          <w:tcPr>
            <w:tcW w:w="909" w:type="dxa"/>
          </w:tcPr>
          <w:p w:rsidR="00CA619C" w:rsidRDefault="00CA619C" w:rsidP="00CA619C">
            <w:pPr>
              <w:widowControl/>
              <w:spacing w:line="240" w:lineRule="auto"/>
              <w:ind w:firstLineChars="0" w:firstLine="0"/>
              <w:jc w:val="center"/>
              <w:rPr>
                <w:kern w:val="0"/>
              </w:rPr>
            </w:pPr>
            <w:r>
              <w:rPr>
                <w:kern w:val="0"/>
              </w:rPr>
              <w:t>10</w:t>
            </w:r>
          </w:p>
        </w:tc>
        <w:tc>
          <w:tcPr>
            <w:tcW w:w="1531" w:type="dxa"/>
          </w:tcPr>
          <w:p w:rsidR="00CA619C" w:rsidRDefault="00CA619C" w:rsidP="00CA619C">
            <w:pPr>
              <w:widowControl/>
              <w:spacing w:line="240" w:lineRule="auto"/>
              <w:ind w:firstLineChars="0" w:firstLine="0"/>
              <w:jc w:val="center"/>
              <w:rPr>
                <w:rFonts w:ascii="宋体" w:hAnsi="宋体" w:cs="宋体"/>
                <w:kern w:val="0"/>
              </w:rPr>
            </w:pPr>
            <w:r>
              <w:rPr>
                <w:rFonts w:ascii="宋体" w:hAnsi="宋体" w:cs="宋体" w:hint="eastAsia"/>
                <w:kern w:val="0"/>
              </w:rPr>
              <w:t>罗马尼亚</w:t>
            </w:r>
          </w:p>
        </w:tc>
        <w:tc>
          <w:tcPr>
            <w:tcW w:w="2415" w:type="dxa"/>
          </w:tcPr>
          <w:p w:rsidR="00CA619C" w:rsidRDefault="00CA619C" w:rsidP="00CA619C">
            <w:pPr>
              <w:widowControl/>
              <w:spacing w:line="240" w:lineRule="auto"/>
              <w:ind w:firstLineChars="0" w:firstLine="0"/>
              <w:jc w:val="center"/>
              <w:rPr>
                <w:kern w:val="0"/>
              </w:rPr>
            </w:pPr>
            <w:r>
              <w:rPr>
                <w:kern w:val="0"/>
              </w:rPr>
              <w:t>70</w:t>
            </w:r>
          </w:p>
        </w:tc>
        <w:tc>
          <w:tcPr>
            <w:tcW w:w="910" w:type="dxa"/>
          </w:tcPr>
          <w:p w:rsidR="00CA619C" w:rsidRDefault="00CA619C" w:rsidP="00CA619C">
            <w:pPr>
              <w:widowControl/>
              <w:spacing w:line="240" w:lineRule="auto"/>
              <w:ind w:firstLineChars="0" w:firstLine="0"/>
              <w:jc w:val="center"/>
              <w:rPr>
                <w:kern w:val="0"/>
              </w:rPr>
            </w:pPr>
            <w:r>
              <w:rPr>
                <w:kern w:val="0"/>
              </w:rPr>
              <w:t>10</w:t>
            </w:r>
          </w:p>
        </w:tc>
        <w:tc>
          <w:tcPr>
            <w:tcW w:w="1218" w:type="dxa"/>
          </w:tcPr>
          <w:p w:rsidR="00CA619C" w:rsidRDefault="00CA619C" w:rsidP="00CA619C">
            <w:pPr>
              <w:widowControl/>
              <w:spacing w:line="240" w:lineRule="auto"/>
              <w:ind w:firstLineChars="0" w:firstLine="0"/>
              <w:jc w:val="center"/>
              <w:rPr>
                <w:rFonts w:ascii="宋体" w:hAnsi="宋体" w:cs="宋体"/>
                <w:kern w:val="0"/>
              </w:rPr>
            </w:pPr>
            <w:r>
              <w:rPr>
                <w:rFonts w:ascii="宋体" w:hAnsi="宋体" w:cs="宋体" w:hint="eastAsia"/>
                <w:kern w:val="0"/>
              </w:rPr>
              <w:t>丹麦</w:t>
            </w:r>
          </w:p>
        </w:tc>
        <w:tc>
          <w:tcPr>
            <w:tcW w:w="2413" w:type="dxa"/>
          </w:tcPr>
          <w:p w:rsidR="00CA619C" w:rsidRDefault="00CA619C" w:rsidP="00CA619C">
            <w:pPr>
              <w:widowControl/>
              <w:spacing w:line="240" w:lineRule="auto"/>
              <w:ind w:firstLineChars="0" w:firstLine="0"/>
              <w:jc w:val="center"/>
              <w:rPr>
                <w:kern w:val="0"/>
              </w:rPr>
            </w:pPr>
            <w:r>
              <w:rPr>
                <w:kern w:val="0"/>
              </w:rPr>
              <w:t>477</w:t>
            </w:r>
          </w:p>
        </w:tc>
      </w:tr>
      <w:tr w:rsidR="00CA619C" w:rsidTr="00CA619C">
        <w:trPr>
          <w:trHeight w:val="315"/>
        </w:trPr>
        <w:tc>
          <w:tcPr>
            <w:tcW w:w="9396" w:type="dxa"/>
            <w:gridSpan w:val="6"/>
          </w:tcPr>
          <w:p w:rsidR="00CA619C" w:rsidRDefault="00CA619C" w:rsidP="00CA619C">
            <w:pPr>
              <w:widowControl/>
              <w:spacing w:line="240" w:lineRule="auto"/>
              <w:ind w:firstLineChars="0" w:firstLine="0"/>
              <w:rPr>
                <w:kern w:val="0"/>
              </w:rPr>
            </w:pPr>
            <w:r>
              <w:rPr>
                <w:rFonts w:ascii="宋体" w:hAnsi="宋体" w:hint="eastAsia"/>
                <w:szCs w:val="21"/>
              </w:rPr>
              <w:t>注：中国为中国风能协会的风机出厂口径。</w:t>
            </w:r>
          </w:p>
        </w:tc>
      </w:tr>
    </w:tbl>
    <w:p w:rsidR="00CA619C" w:rsidRDefault="00CA619C" w:rsidP="00CA619C">
      <w:pPr>
        <w:pStyle w:val="a2"/>
        <w:ind w:leftChars="0" w:hangingChars="457" w:hanging="960"/>
        <w:rPr>
          <w:rFonts w:eastAsia="宋体" w:hint="eastAsia"/>
          <w:sz w:val="21"/>
          <w:szCs w:val="21"/>
        </w:rPr>
      </w:pPr>
      <w:r>
        <w:rPr>
          <w:rFonts w:eastAsia="宋体" w:hint="eastAsia"/>
          <w:sz w:val="21"/>
          <w:szCs w:val="21"/>
        </w:rPr>
        <w:t>（资料来源：王乾坤，国网能源研究院新能源与统计研究所）</w:t>
      </w:r>
    </w:p>
    <w:p w:rsidR="00CA619C" w:rsidRDefault="00CA619C" w:rsidP="00CA619C">
      <w:pPr>
        <w:ind w:firstLine="480"/>
        <w:rPr>
          <w:rFonts w:hint="eastAsia"/>
        </w:rPr>
      </w:pPr>
    </w:p>
    <w:p w:rsidR="00CA619C" w:rsidRDefault="00CA619C" w:rsidP="00CA619C">
      <w:pPr>
        <w:ind w:firstLine="480"/>
        <w:rPr>
          <w:rFonts w:hint="eastAsia"/>
        </w:rPr>
      </w:pPr>
      <w:r>
        <w:rPr>
          <w:rFonts w:hint="eastAsia"/>
        </w:rPr>
        <w:t>根据世界风能协会</w:t>
      </w:r>
      <w:r>
        <w:rPr>
          <w:rFonts w:hint="eastAsia"/>
        </w:rPr>
        <w:t>2013</w:t>
      </w:r>
      <w:r>
        <w:rPr>
          <w:rFonts w:hint="eastAsia"/>
        </w:rPr>
        <w:t>年</w:t>
      </w:r>
      <w:r>
        <w:rPr>
          <w:rFonts w:hint="eastAsia"/>
        </w:rPr>
        <w:t>5</w:t>
      </w:r>
      <w:r>
        <w:rPr>
          <w:rFonts w:hint="eastAsia"/>
        </w:rPr>
        <w:t>月发布的《世界风能报告》，过去十年内，全球风电装机容量从</w:t>
      </w:r>
      <w:r>
        <w:rPr>
          <w:rFonts w:hint="eastAsia"/>
        </w:rPr>
        <w:t>30</w:t>
      </w:r>
      <w:r>
        <w:rPr>
          <w:rFonts w:hint="eastAsia"/>
        </w:rPr>
        <w:t>吉瓦猛增至</w:t>
      </w:r>
      <w:r>
        <w:rPr>
          <w:rFonts w:hint="eastAsia"/>
        </w:rPr>
        <w:t>282</w:t>
      </w:r>
      <w:r>
        <w:rPr>
          <w:rFonts w:hint="eastAsia"/>
        </w:rPr>
        <w:t>吉瓦。其中</w:t>
      </w:r>
      <w:r>
        <w:rPr>
          <w:rFonts w:hint="eastAsia"/>
        </w:rPr>
        <w:t>2012</w:t>
      </w:r>
      <w:r>
        <w:rPr>
          <w:rFonts w:hint="eastAsia"/>
        </w:rPr>
        <w:t>年新增</w:t>
      </w:r>
      <w:r>
        <w:rPr>
          <w:rFonts w:hint="eastAsia"/>
        </w:rPr>
        <w:t>44,609</w:t>
      </w:r>
      <w:r>
        <w:rPr>
          <w:rFonts w:hint="eastAsia"/>
        </w:rPr>
        <w:t>兆瓦，比以往任何时候都更多。但增长率却为</w:t>
      </w:r>
      <w:r>
        <w:rPr>
          <w:rFonts w:hint="eastAsia"/>
        </w:rPr>
        <w:t>19.2%</w:t>
      </w:r>
      <w:r>
        <w:rPr>
          <w:rFonts w:hint="eastAsia"/>
        </w:rPr>
        <w:t>，是十几年来的最低水平。截止</w:t>
      </w:r>
      <w:r>
        <w:rPr>
          <w:rFonts w:hint="eastAsia"/>
        </w:rPr>
        <w:t>2012</w:t>
      </w:r>
      <w:r>
        <w:rPr>
          <w:rFonts w:hint="eastAsia"/>
        </w:rPr>
        <w:t>年底，全球年风力发电量达</w:t>
      </w:r>
      <w:r>
        <w:rPr>
          <w:rFonts w:hint="eastAsia"/>
        </w:rPr>
        <w:t>580TWH</w:t>
      </w:r>
      <w:r>
        <w:rPr>
          <w:rFonts w:hint="eastAsia"/>
        </w:rPr>
        <w:t>，约占全球年发电总量的</w:t>
      </w:r>
      <w:r>
        <w:rPr>
          <w:rFonts w:hint="eastAsia"/>
        </w:rPr>
        <w:t>3%</w:t>
      </w:r>
      <w:r>
        <w:rPr>
          <w:rFonts w:hint="eastAsia"/>
        </w:rPr>
        <w:t>，产值</w:t>
      </w:r>
      <w:r>
        <w:rPr>
          <w:rFonts w:hint="eastAsia"/>
        </w:rPr>
        <w:t>750</w:t>
      </w:r>
      <w:r>
        <w:rPr>
          <w:rFonts w:hint="eastAsia"/>
        </w:rPr>
        <w:t>亿美元。</w:t>
      </w:r>
    </w:p>
    <w:p w:rsidR="00CA619C" w:rsidRPr="005410B2" w:rsidRDefault="00CA619C" w:rsidP="00CA619C">
      <w:pPr>
        <w:ind w:firstLine="480"/>
        <w:jc w:val="center"/>
      </w:pPr>
      <w:r>
        <w:rPr>
          <w:noProof/>
          <w:lang w:eastAsia="en-US"/>
        </w:rPr>
        <w:drawing>
          <wp:inline distT="0" distB="0" distL="0" distR="0">
            <wp:extent cx="4824095" cy="2506980"/>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4095" cy="2506980"/>
                    </a:xfrm>
                    <a:prstGeom prst="rect">
                      <a:avLst/>
                    </a:prstGeom>
                    <a:noFill/>
                    <a:ln>
                      <a:noFill/>
                    </a:ln>
                  </pic:spPr>
                </pic:pic>
              </a:graphicData>
            </a:graphic>
          </wp:inline>
        </w:drawing>
      </w:r>
    </w:p>
    <w:p w:rsidR="00CA619C" w:rsidRDefault="00CA619C" w:rsidP="00CA619C">
      <w:pPr>
        <w:pStyle w:val="a3"/>
        <w:rPr>
          <w:rFonts w:hint="eastAsia"/>
        </w:rPr>
      </w:pPr>
      <w:bookmarkStart w:id="19" w:name="_Toc392853193"/>
      <w:r>
        <w:rPr>
          <w:rFonts w:hint="eastAsia"/>
        </w:rPr>
        <w:t>1996</w:t>
      </w:r>
      <w:r>
        <w:rPr>
          <w:rFonts w:hint="eastAsia"/>
        </w:rPr>
        <w:t>年</w:t>
      </w:r>
      <w:r>
        <w:rPr>
          <w:rFonts w:hint="eastAsia"/>
        </w:rPr>
        <w:t>-2012</w:t>
      </w:r>
      <w:r>
        <w:rPr>
          <w:rFonts w:hint="eastAsia"/>
        </w:rPr>
        <w:t>年全球风电新增装机及累计装机容量变化</w:t>
      </w:r>
      <w:bookmarkEnd w:id="19"/>
    </w:p>
    <w:p w:rsidR="00CA619C" w:rsidRDefault="00CA619C" w:rsidP="00CA619C">
      <w:pPr>
        <w:pStyle w:val="a2"/>
        <w:ind w:left="840"/>
        <w:rPr>
          <w:rFonts w:hint="eastAsia"/>
        </w:rPr>
      </w:pPr>
      <w:r>
        <w:rPr>
          <w:rFonts w:hint="eastAsia"/>
        </w:rPr>
        <w:t>（数据来源：</w:t>
      </w:r>
      <w:r>
        <w:rPr>
          <w:rFonts w:hint="eastAsia"/>
        </w:rPr>
        <w:t>CWEC</w:t>
      </w:r>
      <w:r>
        <w:rPr>
          <w:rFonts w:hint="eastAsia"/>
        </w:rPr>
        <w:t>）</w:t>
      </w:r>
    </w:p>
    <w:p w:rsidR="00CA619C" w:rsidRDefault="00CA619C" w:rsidP="00CA619C">
      <w:pPr>
        <w:ind w:firstLine="480"/>
        <w:rPr>
          <w:rFonts w:hint="eastAsia"/>
        </w:rPr>
      </w:pPr>
      <w:r>
        <w:rPr>
          <w:rFonts w:hint="eastAsia"/>
        </w:rPr>
        <w:t>2012</w:t>
      </w:r>
      <w:r>
        <w:rPr>
          <w:rFonts w:hint="eastAsia"/>
        </w:rPr>
        <w:t>年，全球风电行业营业额达到</w:t>
      </w:r>
      <w:r>
        <w:rPr>
          <w:rFonts w:hint="eastAsia"/>
        </w:rPr>
        <w:t>600</w:t>
      </w:r>
      <w:r>
        <w:rPr>
          <w:rFonts w:hint="eastAsia"/>
        </w:rPr>
        <w:t>亿欧元或</w:t>
      </w:r>
      <w:r>
        <w:rPr>
          <w:rFonts w:hint="eastAsia"/>
        </w:rPr>
        <w:t>750</w:t>
      </w:r>
      <w:r>
        <w:rPr>
          <w:rFonts w:hint="eastAsia"/>
        </w:rPr>
        <w:t>亿美元，共有</w:t>
      </w:r>
      <w:r>
        <w:rPr>
          <w:rFonts w:hint="eastAsia"/>
        </w:rPr>
        <w:t>100</w:t>
      </w:r>
      <w:r>
        <w:rPr>
          <w:rFonts w:hint="eastAsia"/>
        </w:rPr>
        <w:t>个国家和地区使用风能发电，冰岛是第</w:t>
      </w:r>
      <w:r>
        <w:rPr>
          <w:rFonts w:hint="eastAsia"/>
        </w:rPr>
        <w:t>100</w:t>
      </w:r>
      <w:r>
        <w:rPr>
          <w:rFonts w:hint="eastAsia"/>
        </w:rPr>
        <w:t>个使用风力发电国家。数据显示，亚洲是风电发展最快的地区。目前全球</w:t>
      </w:r>
      <w:r>
        <w:rPr>
          <w:rFonts w:hint="eastAsia"/>
        </w:rPr>
        <w:t>100</w:t>
      </w:r>
      <w:r>
        <w:rPr>
          <w:rFonts w:hint="eastAsia"/>
        </w:rPr>
        <w:t>个利用风力发电的国家中，亚洲新装机容量最大，占全球的</w:t>
      </w:r>
      <w:r>
        <w:rPr>
          <w:rFonts w:hint="eastAsia"/>
        </w:rPr>
        <w:t>36.3%</w:t>
      </w:r>
      <w:r>
        <w:rPr>
          <w:rFonts w:hint="eastAsia"/>
        </w:rPr>
        <w:t>，其次是北美和欧洲，分别占</w:t>
      </w:r>
      <w:r>
        <w:rPr>
          <w:rFonts w:hint="eastAsia"/>
        </w:rPr>
        <w:t>31.3%</w:t>
      </w:r>
      <w:r>
        <w:rPr>
          <w:rFonts w:hint="eastAsia"/>
        </w:rPr>
        <w:t>和</w:t>
      </w:r>
      <w:r>
        <w:rPr>
          <w:rFonts w:hint="eastAsia"/>
        </w:rPr>
        <w:t>27.5%</w:t>
      </w:r>
      <w:r>
        <w:rPr>
          <w:rFonts w:hint="eastAsia"/>
        </w:rPr>
        <w:t>，其余地区风电发展较慢，拉美占</w:t>
      </w:r>
      <w:r>
        <w:rPr>
          <w:rFonts w:hint="eastAsia"/>
        </w:rPr>
        <w:t xml:space="preserve">3.9% </w:t>
      </w:r>
      <w:r>
        <w:rPr>
          <w:rFonts w:hint="eastAsia"/>
        </w:rPr>
        <w:t>，大洋洲占</w:t>
      </w:r>
      <w:r>
        <w:rPr>
          <w:rFonts w:hint="eastAsia"/>
        </w:rPr>
        <w:t xml:space="preserve"> 0.8%</w:t>
      </w:r>
      <w:r>
        <w:rPr>
          <w:rFonts w:hint="eastAsia"/>
        </w:rPr>
        <w:t>，非洲占</w:t>
      </w:r>
      <w:r>
        <w:rPr>
          <w:rFonts w:hint="eastAsia"/>
        </w:rPr>
        <w:t>0.2%</w:t>
      </w:r>
      <w:r>
        <w:rPr>
          <w:rFonts w:hint="eastAsia"/>
        </w:rPr>
        <w:t>，仍是一个很小的风电市场。拉丁美洲和东欧继续成为世界最有活力的地区，而非洲表现出停滞，只有突尼斯和埃塞俄比亚有新的安装风电场。</w:t>
      </w:r>
    </w:p>
    <w:p w:rsidR="00CA619C" w:rsidRDefault="00CA619C" w:rsidP="00CA619C">
      <w:pPr>
        <w:ind w:firstLine="480"/>
        <w:rPr>
          <w:rFonts w:hint="eastAsia"/>
        </w:rPr>
      </w:pPr>
      <w:r>
        <w:rPr>
          <w:rFonts w:hint="eastAsia"/>
        </w:rPr>
        <w:t>在亚洲，</w:t>
      </w:r>
      <w:r>
        <w:rPr>
          <w:rFonts w:hint="eastAsia"/>
        </w:rPr>
        <w:t>2012</w:t>
      </w:r>
      <w:r>
        <w:rPr>
          <w:rFonts w:hint="eastAsia"/>
        </w:rPr>
        <w:t>年，中国继续成为迄今为止亚洲最大的市场，增加了</w:t>
      </w:r>
      <w:r>
        <w:rPr>
          <w:rFonts w:hint="eastAsia"/>
        </w:rPr>
        <w:t>13GW</w:t>
      </w:r>
      <w:r>
        <w:rPr>
          <w:rFonts w:hint="eastAsia"/>
        </w:rPr>
        <w:t>，但是明显低于上年。印度再次成为全球新的风机第三大市场，增加</w:t>
      </w:r>
      <w:r>
        <w:rPr>
          <w:rFonts w:hint="eastAsia"/>
        </w:rPr>
        <w:t>2.5GW</w:t>
      </w:r>
      <w:r>
        <w:rPr>
          <w:rFonts w:hint="eastAsia"/>
        </w:rPr>
        <w:t>。亚洲第三大风力发电市场日本，还是增长速度非常缓慢，安装还不及后来者巴基斯坦。在北美，美国市场创下了新纪录，并成为世界上新的风力发电机组最大的市场，新增</w:t>
      </w:r>
      <w:r>
        <w:rPr>
          <w:rFonts w:hint="eastAsia"/>
        </w:rPr>
        <w:t>13GW</w:t>
      </w:r>
      <w:r>
        <w:rPr>
          <w:rFonts w:hint="eastAsia"/>
        </w:rPr>
        <w:t>。加拿大风电市场增长放缓，低于全球平均水平。在欧洲，德国一直是最大的风电国家，装机容量已达</w:t>
      </w:r>
      <w:r>
        <w:rPr>
          <w:rFonts w:hint="eastAsia"/>
        </w:rPr>
        <w:t>31</w:t>
      </w:r>
      <w:r>
        <w:rPr>
          <w:rFonts w:hint="eastAsia"/>
        </w:rPr>
        <w:t>吉瓦，西班牙以</w:t>
      </w:r>
      <w:r>
        <w:rPr>
          <w:rFonts w:hint="eastAsia"/>
        </w:rPr>
        <w:t>22.8</w:t>
      </w:r>
      <w:r>
        <w:rPr>
          <w:rFonts w:hint="eastAsia"/>
        </w:rPr>
        <w:t>吉瓦紧随其后，其次是意大利、法国和英国，装机容量约在</w:t>
      </w:r>
      <w:r>
        <w:rPr>
          <w:rFonts w:hint="eastAsia"/>
        </w:rPr>
        <w:t>7.5</w:t>
      </w:r>
      <w:r>
        <w:rPr>
          <w:rFonts w:hint="eastAsia"/>
        </w:rPr>
        <w:t>至</w:t>
      </w:r>
      <w:r>
        <w:rPr>
          <w:rFonts w:hint="eastAsia"/>
        </w:rPr>
        <w:t>8.5</w:t>
      </w:r>
      <w:r>
        <w:rPr>
          <w:rFonts w:hint="eastAsia"/>
        </w:rPr>
        <w:t>吉瓦区间。</w:t>
      </w:r>
    </w:p>
    <w:p w:rsidR="00CA619C" w:rsidRDefault="00CA619C" w:rsidP="00CA619C">
      <w:pPr>
        <w:ind w:firstLine="480"/>
        <w:jc w:val="center"/>
      </w:pPr>
      <w:r>
        <w:rPr>
          <w:noProof/>
          <w:lang w:eastAsia="en-US"/>
        </w:rPr>
        <w:drawing>
          <wp:inline distT="0" distB="0" distL="0" distR="0">
            <wp:extent cx="4777105" cy="3089910"/>
            <wp:effectExtent l="0" t="0" r="0" b="889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l="1924" t="7317" r="1683" b="5594"/>
                    <a:stretch>
                      <a:fillRect/>
                    </a:stretch>
                  </pic:blipFill>
                  <pic:spPr bwMode="auto">
                    <a:xfrm>
                      <a:off x="0" y="0"/>
                      <a:ext cx="4777105" cy="3089910"/>
                    </a:xfrm>
                    <a:prstGeom prst="rect">
                      <a:avLst/>
                    </a:prstGeom>
                    <a:noFill/>
                    <a:ln>
                      <a:noFill/>
                    </a:ln>
                  </pic:spPr>
                </pic:pic>
              </a:graphicData>
            </a:graphic>
          </wp:inline>
        </w:drawing>
      </w:r>
    </w:p>
    <w:p w:rsidR="00CA619C" w:rsidRDefault="00CA619C" w:rsidP="00CA619C">
      <w:pPr>
        <w:pStyle w:val="a3"/>
        <w:tabs>
          <w:tab w:val="left" w:pos="425"/>
        </w:tabs>
        <w:rPr>
          <w:rFonts w:hint="eastAsia"/>
        </w:rPr>
      </w:pPr>
      <w:bookmarkStart w:id="20" w:name="_Toc392853194"/>
      <w:r>
        <w:rPr>
          <w:rFonts w:hint="eastAsia"/>
        </w:rPr>
        <w:t>2005</w:t>
      </w:r>
      <w:r>
        <w:rPr>
          <w:rFonts w:hint="eastAsia"/>
        </w:rPr>
        <w:t>年</w:t>
      </w:r>
      <w:r>
        <w:rPr>
          <w:rFonts w:hint="eastAsia"/>
        </w:rPr>
        <w:t>-2012</w:t>
      </w:r>
      <w:r>
        <w:rPr>
          <w:rFonts w:hint="eastAsia"/>
        </w:rPr>
        <w:t>年全球主要地区风电装机装机容量比较</w:t>
      </w:r>
      <w:bookmarkEnd w:id="20"/>
    </w:p>
    <w:p w:rsidR="00CA619C" w:rsidRDefault="00CA619C" w:rsidP="00CA619C">
      <w:pPr>
        <w:pStyle w:val="a2"/>
        <w:ind w:left="840"/>
        <w:rPr>
          <w:rFonts w:hint="eastAsia"/>
        </w:rPr>
      </w:pPr>
      <w:r>
        <w:rPr>
          <w:rFonts w:hint="eastAsia"/>
        </w:rPr>
        <w:t>（来源：</w:t>
      </w:r>
      <w:r>
        <w:rPr>
          <w:rFonts w:hint="eastAsia"/>
        </w:rPr>
        <w:t>CWEC</w:t>
      </w:r>
      <w:r>
        <w:rPr>
          <w:rFonts w:hint="eastAsia"/>
        </w:rPr>
        <w:t>）</w:t>
      </w:r>
    </w:p>
    <w:p w:rsidR="00CA619C" w:rsidRDefault="00CA619C" w:rsidP="00CA619C">
      <w:pPr>
        <w:ind w:firstLine="480"/>
        <w:rPr>
          <w:rFonts w:ascii="宋体" w:hAnsi="宋体" w:hint="eastAsia"/>
        </w:rPr>
      </w:pPr>
      <w:r>
        <w:rPr>
          <w:rFonts w:ascii="宋体" w:hAnsi="宋体" w:hint="eastAsia"/>
        </w:rPr>
        <w:t>欧洲提出2020年风电装机达到2.3亿千瓦，德国提出2020年可再生能源发电占到电力消费35%，其中50%来自风电。</w:t>
      </w:r>
      <w:r>
        <w:rPr>
          <w:rFonts w:hint="eastAsia"/>
        </w:rPr>
        <w:t>世界风能协发布的《世界风能报告》预测未来风电发展空间巨大，截止</w:t>
      </w:r>
      <w:r>
        <w:rPr>
          <w:rFonts w:hint="eastAsia"/>
        </w:rPr>
        <w:t>2016</w:t>
      </w:r>
      <w:r>
        <w:rPr>
          <w:rFonts w:hint="eastAsia"/>
        </w:rPr>
        <w:t>年，全球风电装机容量将达到</w:t>
      </w:r>
      <w:r>
        <w:rPr>
          <w:rFonts w:hint="eastAsia"/>
        </w:rPr>
        <w:t>500</w:t>
      </w:r>
      <w:r>
        <w:rPr>
          <w:rFonts w:hint="eastAsia"/>
        </w:rPr>
        <w:t>吉瓦，</w:t>
      </w:r>
      <w:r>
        <w:rPr>
          <w:rFonts w:hint="eastAsia"/>
        </w:rPr>
        <w:t>2020</w:t>
      </w:r>
      <w:r>
        <w:rPr>
          <w:rFonts w:hint="eastAsia"/>
        </w:rPr>
        <w:t>年有望达到</w:t>
      </w:r>
      <w:r>
        <w:rPr>
          <w:rFonts w:hint="eastAsia"/>
        </w:rPr>
        <w:t>1000</w:t>
      </w:r>
      <w:r>
        <w:rPr>
          <w:rFonts w:hint="eastAsia"/>
        </w:rPr>
        <w:t>吉瓦。</w:t>
      </w:r>
      <w:r>
        <w:rPr>
          <w:rFonts w:ascii="宋体" w:hAnsi="宋体" w:hint="eastAsia"/>
        </w:rPr>
        <w:t>根据欧洲风能协会发布的《全球风能展望2030》，到2020年和2030年，全球风电发电量将达到581亿千瓦时和1153亿千瓦时，其中海上风电将占到25.5%和48.7%。</w:t>
      </w:r>
    </w:p>
    <w:p w:rsidR="00CA619C" w:rsidRDefault="00CA619C" w:rsidP="00CA619C">
      <w:pPr>
        <w:ind w:firstLine="480"/>
        <w:rPr>
          <w:rFonts w:hint="eastAsia"/>
        </w:rPr>
      </w:pPr>
      <w:r>
        <w:rPr>
          <w:rFonts w:hint="eastAsia"/>
        </w:rPr>
        <w:t>美国风电资源十分丰富，陆上风电资源约为</w:t>
      </w:r>
      <w:r>
        <w:rPr>
          <w:rFonts w:hint="eastAsia"/>
        </w:rPr>
        <w:t>10459</w:t>
      </w:r>
      <w:r>
        <w:rPr>
          <w:rFonts w:hint="eastAsia"/>
        </w:rPr>
        <w:t>吉瓦，相当于</w:t>
      </w:r>
      <w:r>
        <w:rPr>
          <w:rFonts w:hint="eastAsia"/>
        </w:rPr>
        <w:t>200</w:t>
      </w:r>
      <w:r>
        <w:rPr>
          <w:rFonts w:hint="eastAsia"/>
        </w:rPr>
        <w:t>亿桶石油所包含的能量，海上风电资源约为</w:t>
      </w:r>
      <w:r>
        <w:rPr>
          <w:rFonts w:hint="eastAsia"/>
        </w:rPr>
        <w:t>4150</w:t>
      </w:r>
      <w:r>
        <w:rPr>
          <w:rFonts w:hint="eastAsia"/>
        </w:rPr>
        <w:t>吉瓦。美国风力发电起步于</w:t>
      </w:r>
      <w:r>
        <w:rPr>
          <w:rFonts w:hint="eastAsia"/>
        </w:rPr>
        <w:t>20</w:t>
      </w:r>
      <w:r>
        <w:rPr>
          <w:rFonts w:hint="eastAsia"/>
        </w:rPr>
        <w:t>世纪</w:t>
      </w:r>
      <w:r>
        <w:rPr>
          <w:rFonts w:hint="eastAsia"/>
        </w:rPr>
        <w:t>70</w:t>
      </w:r>
      <w:r>
        <w:rPr>
          <w:rFonts w:hint="eastAsia"/>
        </w:rPr>
        <w:t>年代的石油危机之后。</w:t>
      </w:r>
      <w:r>
        <w:rPr>
          <w:rFonts w:hint="eastAsia"/>
        </w:rPr>
        <w:t>20</w:t>
      </w:r>
      <w:r>
        <w:rPr>
          <w:rFonts w:hint="eastAsia"/>
        </w:rPr>
        <w:t>世纪</w:t>
      </w:r>
      <w:r>
        <w:rPr>
          <w:rFonts w:hint="eastAsia"/>
        </w:rPr>
        <w:t>80</w:t>
      </w:r>
      <w:r>
        <w:rPr>
          <w:rFonts w:hint="eastAsia"/>
        </w:rPr>
        <w:t>年代初美国风电曾显赫一时，占全球风电装机的</w:t>
      </w:r>
      <w:r>
        <w:rPr>
          <w:rFonts w:hint="eastAsia"/>
        </w:rPr>
        <w:t>90</w:t>
      </w:r>
      <w:r>
        <w:rPr>
          <w:rFonts w:hint="eastAsia"/>
        </w:rPr>
        <w:t>％。遗憾的是，</w:t>
      </w:r>
      <w:r>
        <w:rPr>
          <w:rFonts w:hint="eastAsia"/>
        </w:rPr>
        <w:t>80</w:t>
      </w:r>
      <w:r>
        <w:rPr>
          <w:rFonts w:hint="eastAsia"/>
        </w:rPr>
        <w:t>年代中期之后，世界石油价格下跌和政府削减经费，美国风电产业突然停顿。</w:t>
      </w:r>
      <w:r>
        <w:rPr>
          <w:rFonts w:hint="eastAsia"/>
        </w:rPr>
        <w:t>2000</w:t>
      </w:r>
      <w:r>
        <w:rPr>
          <w:rFonts w:hint="eastAsia"/>
        </w:rPr>
        <w:t>年以后，随着全球清洁可再生能源发展日益强劲，美国也加快了风电产业发展步伐，在联邦政府和德克萨斯等州州政府的推动下，美国风电新增装机容量以每年</w:t>
      </w:r>
      <w:r>
        <w:rPr>
          <w:rFonts w:hint="eastAsia"/>
        </w:rPr>
        <w:t>30</w:t>
      </w:r>
      <w:r>
        <w:rPr>
          <w:rFonts w:hint="eastAsia"/>
        </w:rPr>
        <w:t>％的比例快速增长。从</w:t>
      </w:r>
      <w:r>
        <w:rPr>
          <w:rFonts w:hint="eastAsia"/>
        </w:rPr>
        <w:t>2005</w:t>
      </w:r>
      <w:r>
        <w:rPr>
          <w:rFonts w:hint="eastAsia"/>
        </w:rPr>
        <w:t>年开始．美国新增风电装机容量超过德国，重新位居世界第一，直到</w:t>
      </w:r>
      <w:r>
        <w:rPr>
          <w:rFonts w:hint="eastAsia"/>
        </w:rPr>
        <w:t>2009</w:t>
      </w:r>
      <w:r>
        <w:rPr>
          <w:rFonts w:hint="eastAsia"/>
        </w:rPr>
        <w:t>年被中国超过。</w:t>
      </w:r>
    </w:p>
    <w:p w:rsidR="00CA619C" w:rsidRDefault="00CA619C" w:rsidP="00CA619C">
      <w:pPr>
        <w:ind w:firstLine="480"/>
        <w:rPr>
          <w:rFonts w:hint="eastAsia"/>
        </w:rPr>
      </w:pPr>
      <w:r>
        <w:rPr>
          <w:rFonts w:hint="eastAsia"/>
        </w:rPr>
        <w:t>2012</w:t>
      </w:r>
      <w:r>
        <w:rPr>
          <w:rFonts w:hint="eastAsia"/>
        </w:rPr>
        <w:t>年，美国风电装机容量为</w:t>
      </w:r>
      <w:r>
        <w:rPr>
          <w:rFonts w:hint="eastAsia"/>
        </w:rPr>
        <w:t>132</w:t>
      </w:r>
      <w:r>
        <w:rPr>
          <w:rFonts w:hint="eastAsia"/>
        </w:rPr>
        <w:t>亿瓦，全美风电累计装机容量达</w:t>
      </w:r>
      <w:r>
        <w:rPr>
          <w:rFonts w:hint="eastAsia"/>
        </w:rPr>
        <w:t>600</w:t>
      </w:r>
      <w:r>
        <w:rPr>
          <w:rFonts w:hint="eastAsia"/>
        </w:rPr>
        <w:t>亿瓦，风力发电占全美电力供应的</w:t>
      </w:r>
      <w:r>
        <w:rPr>
          <w:rFonts w:hint="eastAsia"/>
        </w:rPr>
        <w:t>6%</w:t>
      </w:r>
      <w:r>
        <w:rPr>
          <w:rStyle w:val="FootnoteReference"/>
        </w:rPr>
        <w:footnoteReference w:id="6"/>
      </w:r>
      <w:r>
        <w:rPr>
          <w:rFonts w:hint="eastAsia"/>
        </w:rPr>
        <w:t>。（如图）从风电投资看：</w:t>
      </w:r>
      <w:r>
        <w:rPr>
          <w:rFonts w:hint="eastAsia"/>
        </w:rPr>
        <w:t>2012</w:t>
      </w:r>
      <w:r>
        <w:rPr>
          <w:rFonts w:hint="eastAsia"/>
        </w:rPr>
        <w:t>年投资达</w:t>
      </w:r>
      <w:r>
        <w:rPr>
          <w:rFonts w:hint="eastAsia"/>
        </w:rPr>
        <w:t>250</w:t>
      </w:r>
      <w:r>
        <w:rPr>
          <w:rFonts w:hint="eastAsia"/>
        </w:rPr>
        <w:t>亿美元，</w:t>
      </w:r>
      <w:r>
        <w:rPr>
          <w:rFonts w:hint="eastAsia"/>
        </w:rPr>
        <w:t>1980</w:t>
      </w:r>
      <w:r>
        <w:rPr>
          <w:rFonts w:hint="eastAsia"/>
        </w:rPr>
        <w:t>年以来的累计投资达</w:t>
      </w:r>
      <w:r>
        <w:rPr>
          <w:rFonts w:hint="eastAsia"/>
        </w:rPr>
        <w:t>1220</w:t>
      </w:r>
      <w:r>
        <w:rPr>
          <w:rFonts w:hint="eastAsia"/>
        </w:rPr>
        <w:t>亿美元。</w:t>
      </w:r>
      <w:r>
        <w:rPr>
          <w:rFonts w:hint="eastAsia"/>
        </w:rPr>
        <w:t>2012</w:t>
      </w:r>
      <w:r>
        <w:rPr>
          <w:rFonts w:hint="eastAsia"/>
        </w:rPr>
        <w:t>年风力电站安装较</w:t>
      </w:r>
      <w:r>
        <w:rPr>
          <w:rFonts w:hint="eastAsia"/>
        </w:rPr>
        <w:t>2011</w:t>
      </w:r>
      <w:r>
        <w:rPr>
          <w:rFonts w:hint="eastAsia"/>
        </w:rPr>
        <w:t>年增长</w:t>
      </w:r>
      <w:r>
        <w:rPr>
          <w:rFonts w:hint="eastAsia"/>
        </w:rPr>
        <w:t>90%</w:t>
      </w:r>
      <w:r>
        <w:rPr>
          <w:rFonts w:hint="eastAsia"/>
        </w:rPr>
        <w:t>，比此前年度安装量最大的</w:t>
      </w:r>
      <w:r>
        <w:rPr>
          <w:rFonts w:hint="eastAsia"/>
        </w:rPr>
        <w:t>2009</w:t>
      </w:r>
      <w:r>
        <w:rPr>
          <w:rFonts w:hint="eastAsia"/>
        </w:rPr>
        <w:t>年增长</w:t>
      </w:r>
      <w:r>
        <w:rPr>
          <w:rFonts w:hint="eastAsia"/>
        </w:rPr>
        <w:t>30</w:t>
      </w:r>
      <w:r>
        <w:t>%</w:t>
      </w:r>
      <w:r>
        <w:rPr>
          <w:rFonts w:hint="eastAsia"/>
        </w:rPr>
        <w:t>，</w:t>
      </w:r>
      <w:r>
        <w:rPr>
          <w:rFonts w:hint="eastAsia"/>
        </w:rPr>
        <w:t>2012</w:t>
      </w:r>
      <w:r>
        <w:rPr>
          <w:rFonts w:hint="eastAsia"/>
        </w:rPr>
        <w:t>年累计装机容量增长</w:t>
      </w:r>
      <w:r>
        <w:rPr>
          <w:rFonts w:hint="eastAsia"/>
        </w:rPr>
        <w:t>28</w:t>
      </w:r>
      <w:r>
        <w:t>%</w:t>
      </w:r>
      <w:r>
        <w:rPr>
          <w:rFonts w:hint="eastAsia"/>
        </w:rPr>
        <w:t>。</w:t>
      </w:r>
      <w:bookmarkStart w:id="21" w:name="_Ref370390622"/>
      <w:r>
        <w:rPr>
          <w:rStyle w:val="FootnoteReference"/>
        </w:rPr>
        <w:footnoteReference w:id="7"/>
      </w:r>
      <w:bookmarkEnd w:id="21"/>
    </w:p>
    <w:p w:rsidR="00CA619C" w:rsidRDefault="00CA619C" w:rsidP="00CA619C">
      <w:pPr>
        <w:ind w:firstLine="480"/>
        <w:jc w:val="center"/>
        <w:rPr>
          <w:lang w:val="en-US" w:eastAsia="en-US"/>
        </w:rPr>
      </w:pPr>
      <w:r>
        <w:rPr>
          <w:noProof/>
          <w:lang w:eastAsia="en-US"/>
        </w:rPr>
        <w:drawing>
          <wp:inline distT="0" distB="0" distL="0" distR="0">
            <wp:extent cx="4777105" cy="219138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7105" cy="2191385"/>
                    </a:xfrm>
                    <a:prstGeom prst="rect">
                      <a:avLst/>
                    </a:prstGeom>
                    <a:noFill/>
                    <a:ln>
                      <a:noFill/>
                    </a:ln>
                    <a:effectLst/>
                  </pic:spPr>
                </pic:pic>
              </a:graphicData>
            </a:graphic>
          </wp:inline>
        </w:drawing>
      </w:r>
    </w:p>
    <w:p w:rsidR="00CA619C" w:rsidRDefault="00CA619C" w:rsidP="00CA619C">
      <w:pPr>
        <w:pStyle w:val="a3"/>
        <w:rPr>
          <w:rFonts w:hint="eastAsia"/>
        </w:rPr>
      </w:pPr>
      <w:bookmarkStart w:id="23" w:name="_Toc392853195"/>
      <w:r>
        <w:rPr>
          <w:rFonts w:hint="eastAsia"/>
        </w:rPr>
        <w:t>1999</w:t>
      </w:r>
      <w:r>
        <w:rPr>
          <w:rFonts w:hint="eastAsia"/>
        </w:rPr>
        <w:t>年</w:t>
      </w:r>
      <w:r>
        <w:rPr>
          <w:rFonts w:hint="eastAsia"/>
        </w:rPr>
        <w:t>-2012</w:t>
      </w:r>
      <w:r>
        <w:rPr>
          <w:rFonts w:hint="eastAsia"/>
        </w:rPr>
        <w:t>年美国风电累计装机容量</w:t>
      </w:r>
      <w:bookmarkEnd w:id="23"/>
    </w:p>
    <w:p w:rsidR="00CA619C" w:rsidRDefault="00CA619C" w:rsidP="00CA619C">
      <w:pPr>
        <w:pStyle w:val="a2"/>
        <w:ind w:left="840"/>
        <w:rPr>
          <w:rFonts w:hint="eastAsia"/>
        </w:rPr>
      </w:pPr>
      <w:r>
        <w:rPr>
          <w:rFonts w:hint="eastAsia"/>
        </w:rPr>
        <w:t>（来源：</w:t>
      </w:r>
      <w:r>
        <w:rPr>
          <w:rFonts w:hint="eastAsia"/>
        </w:rPr>
        <w:t>AWEA</w:t>
      </w:r>
      <w:r>
        <w:rPr>
          <w:rFonts w:hint="eastAsia"/>
        </w:rPr>
        <w:t>）</w:t>
      </w:r>
    </w:p>
    <w:p w:rsidR="00CA619C" w:rsidRDefault="00CA619C" w:rsidP="00CA619C">
      <w:pPr>
        <w:ind w:firstLine="480"/>
        <w:rPr>
          <w:rFonts w:hint="eastAsia"/>
        </w:rPr>
      </w:pPr>
      <w:r>
        <w:rPr>
          <w:rFonts w:hint="eastAsia"/>
        </w:rPr>
        <w:t>目前美国各州的风电生产成本差异性较大，例如：加利福尼亚州的平均风电价格为</w:t>
      </w:r>
      <w:r>
        <w:rPr>
          <w:rFonts w:hint="eastAsia"/>
        </w:rPr>
        <w:t>0.11</w:t>
      </w:r>
      <w:r>
        <w:rPr>
          <w:rFonts w:hint="eastAsia"/>
        </w:rPr>
        <w:t>美元</w:t>
      </w:r>
      <w:r>
        <w:rPr>
          <w:rFonts w:hint="eastAsia"/>
        </w:rPr>
        <w:t>/(kW</w:t>
      </w:r>
      <w:r>
        <w:rPr>
          <w:rFonts w:hint="eastAsia"/>
        </w:rPr>
        <w:t>·</w:t>
      </w:r>
      <w:r>
        <w:rPr>
          <w:rFonts w:hint="eastAsia"/>
        </w:rPr>
        <w:t>h)</w:t>
      </w:r>
      <w:r>
        <w:rPr>
          <w:rFonts w:hint="eastAsia"/>
        </w:rPr>
        <w:t>，而风力资源丰富的中西地区和德克萨斯州的平均风电价格只有</w:t>
      </w:r>
      <w:r>
        <w:rPr>
          <w:rFonts w:hint="eastAsia"/>
        </w:rPr>
        <w:t>0.04</w:t>
      </w:r>
      <w:r>
        <w:rPr>
          <w:rFonts w:hint="eastAsia"/>
        </w:rPr>
        <w:t>美元</w:t>
      </w:r>
      <w:r>
        <w:rPr>
          <w:rFonts w:hint="eastAsia"/>
        </w:rPr>
        <w:t>/(kW</w:t>
      </w:r>
      <w:r>
        <w:rPr>
          <w:rFonts w:hint="eastAsia"/>
        </w:rPr>
        <w:t>·</w:t>
      </w:r>
      <w:r>
        <w:rPr>
          <w:rFonts w:hint="eastAsia"/>
        </w:rPr>
        <w:t>h)</w:t>
      </w:r>
      <w:r>
        <w:rPr>
          <w:rFonts w:hint="eastAsia"/>
        </w:rPr>
        <w:t>左右，相差近</w:t>
      </w:r>
      <w:r>
        <w:rPr>
          <w:rFonts w:hint="eastAsia"/>
        </w:rPr>
        <w:t>3</w:t>
      </w:r>
      <w:r>
        <w:rPr>
          <w:rFonts w:hint="eastAsia"/>
        </w:rPr>
        <w:t>倍。风电机组价格和安装成本也是构成风电生产成本的重要因素。例如，</w:t>
      </w:r>
      <w:r>
        <w:rPr>
          <w:rFonts w:hint="eastAsia"/>
        </w:rPr>
        <w:t>2008</w:t>
      </w:r>
      <w:r>
        <w:rPr>
          <w:rFonts w:hint="eastAsia"/>
        </w:rPr>
        <w:t>年投资建设的风电场，由于当时风电机组价格处于高位，</w:t>
      </w:r>
      <w:r>
        <w:rPr>
          <w:rFonts w:hint="eastAsia"/>
        </w:rPr>
        <w:t>2011</w:t>
      </w:r>
      <w:r>
        <w:rPr>
          <w:rFonts w:hint="eastAsia"/>
        </w:rPr>
        <w:t>年建成后的平均风电价格为</w:t>
      </w:r>
      <w:r>
        <w:rPr>
          <w:rFonts w:hint="eastAsia"/>
        </w:rPr>
        <w:t>0.074</w:t>
      </w:r>
      <w:r>
        <w:rPr>
          <w:rFonts w:hint="eastAsia"/>
        </w:rPr>
        <w:t>美元</w:t>
      </w:r>
      <w:r>
        <w:rPr>
          <w:rFonts w:hint="eastAsia"/>
        </w:rPr>
        <w:t>/(kW</w:t>
      </w:r>
      <w:r>
        <w:rPr>
          <w:rFonts w:hint="eastAsia"/>
        </w:rPr>
        <w:t>·</w:t>
      </w:r>
      <w:r>
        <w:rPr>
          <w:rFonts w:hint="eastAsia"/>
        </w:rPr>
        <w:t>h)</w:t>
      </w:r>
      <w:r>
        <w:rPr>
          <w:rFonts w:hint="eastAsia"/>
        </w:rPr>
        <w:t>，比</w:t>
      </w:r>
      <w:r>
        <w:rPr>
          <w:rFonts w:hint="eastAsia"/>
        </w:rPr>
        <w:t>3</w:t>
      </w:r>
      <w:r>
        <w:rPr>
          <w:rFonts w:hint="eastAsia"/>
        </w:rPr>
        <w:t>年前提高了</w:t>
      </w:r>
      <w:r>
        <w:rPr>
          <w:rFonts w:hint="eastAsia"/>
        </w:rPr>
        <w:t>0.013</w:t>
      </w:r>
      <w:r>
        <w:rPr>
          <w:rFonts w:hint="eastAsia"/>
        </w:rPr>
        <w:t>美元</w:t>
      </w:r>
      <w:r>
        <w:rPr>
          <w:rFonts w:hint="eastAsia"/>
        </w:rPr>
        <w:t>/(kW</w:t>
      </w:r>
      <w:r>
        <w:rPr>
          <w:rFonts w:hint="eastAsia"/>
        </w:rPr>
        <w:t>·</w:t>
      </w:r>
      <w:r>
        <w:rPr>
          <w:rFonts w:hint="eastAsia"/>
        </w:rPr>
        <w:t>h)</w:t>
      </w:r>
      <w:r>
        <w:rPr>
          <w:rFonts w:hint="eastAsia"/>
        </w:rPr>
        <w:t>。由于运营管理水平的提高，美国风电场的运营成本逐年降低，</w:t>
      </w:r>
      <w:r>
        <w:rPr>
          <w:rFonts w:hint="eastAsia"/>
        </w:rPr>
        <w:t>2011</w:t>
      </w:r>
      <w:r>
        <w:rPr>
          <w:rFonts w:hint="eastAsia"/>
        </w:rPr>
        <w:t>年，平均运营管理成本为</w:t>
      </w:r>
      <w:r>
        <w:rPr>
          <w:rFonts w:hint="eastAsia"/>
        </w:rPr>
        <w:t>0.01</w:t>
      </w:r>
      <w:r>
        <w:rPr>
          <w:rFonts w:hint="eastAsia"/>
        </w:rPr>
        <w:t>美元</w:t>
      </w:r>
      <w:r>
        <w:rPr>
          <w:rFonts w:hint="eastAsia"/>
        </w:rPr>
        <w:t>/(kW</w:t>
      </w:r>
      <w:r>
        <w:rPr>
          <w:rFonts w:hint="eastAsia"/>
        </w:rPr>
        <w:t>·</w:t>
      </w:r>
      <w:r>
        <w:rPr>
          <w:rFonts w:hint="eastAsia"/>
        </w:rPr>
        <w:t>h)</w:t>
      </w:r>
      <w:r>
        <w:rPr>
          <w:rStyle w:val="FootnoteReference"/>
          <w:rFonts w:hint="eastAsia"/>
        </w:rPr>
        <w:footnoteReference w:id="8"/>
      </w:r>
      <w:r>
        <w:rPr>
          <w:rFonts w:hint="eastAsia"/>
        </w:rPr>
        <w:t>。</w:t>
      </w:r>
    </w:p>
    <w:p w:rsidR="00CA619C" w:rsidRDefault="00CA619C" w:rsidP="00CA619C">
      <w:pPr>
        <w:ind w:firstLine="480"/>
        <w:rPr>
          <w:rFonts w:hint="eastAsia"/>
        </w:rPr>
      </w:pPr>
      <w:r>
        <w:rPr>
          <w:rFonts w:hint="eastAsia"/>
        </w:rPr>
        <w:t>美国近海水域和五大湖区的离岸（</w:t>
      </w:r>
      <w:r>
        <w:rPr>
          <w:rFonts w:hint="eastAsia"/>
        </w:rPr>
        <w:t>offshore</w:t>
      </w:r>
      <w:r>
        <w:rPr>
          <w:rFonts w:hint="eastAsia"/>
        </w:rPr>
        <w:t>）风力资源丰富。根据美国国家可再生能源实验室的估算数据，全美离岸风力资源蕴藏量大约有</w:t>
      </w:r>
      <w:r>
        <w:rPr>
          <w:rFonts w:hint="eastAsia"/>
        </w:rPr>
        <w:t>4000GW</w:t>
      </w:r>
      <w:r>
        <w:rPr>
          <w:rFonts w:hint="eastAsia"/>
        </w:rPr>
        <w:t>，相当于</w:t>
      </w:r>
      <w:r>
        <w:rPr>
          <w:rFonts w:hint="eastAsia"/>
        </w:rPr>
        <w:t>2011</w:t>
      </w:r>
      <w:r>
        <w:rPr>
          <w:rFonts w:hint="eastAsia"/>
        </w:rPr>
        <w:t>年全美发电量的</w:t>
      </w:r>
      <w:r>
        <w:rPr>
          <w:rFonts w:hint="eastAsia"/>
        </w:rPr>
        <w:t>4</w:t>
      </w:r>
      <w:r>
        <w:rPr>
          <w:rFonts w:hint="eastAsia"/>
        </w:rPr>
        <w:t>倍。但由于受开发成本高，以及环境和生态的限制，美国离岸风电发展缓慢，除了一些实验性风电场外，至今还没建成一座商业化的离岸风电场。</w:t>
      </w:r>
    </w:p>
    <w:p w:rsidR="00CA619C" w:rsidRDefault="00CA619C" w:rsidP="00CA619C">
      <w:pPr>
        <w:pStyle w:val="Heading4"/>
        <w:tabs>
          <w:tab w:val="left" w:pos="864"/>
        </w:tabs>
        <w:rPr>
          <w:rFonts w:hint="eastAsia"/>
        </w:rPr>
      </w:pPr>
      <w:r>
        <w:rPr>
          <w:rFonts w:hint="eastAsia"/>
        </w:rPr>
        <w:t>世界风电技术水平</w:t>
      </w:r>
    </w:p>
    <w:p w:rsidR="00CA619C" w:rsidRDefault="00CA619C" w:rsidP="00CA619C">
      <w:pPr>
        <w:ind w:firstLine="480"/>
        <w:rPr>
          <w:rFonts w:hint="eastAsia"/>
        </w:rPr>
      </w:pPr>
      <w:r>
        <w:rPr>
          <w:rFonts w:hint="eastAsia"/>
        </w:rPr>
        <w:t>近年来，水平轴风电机组技术，因其具有风能转换效率高、转轴较短，在大型风电机组上更显出经济性等优点，使水平轴风电机组成为世界风电发展的主流机型，并占到</w:t>
      </w:r>
      <w:r>
        <w:rPr>
          <w:rFonts w:hint="eastAsia"/>
        </w:rPr>
        <w:t>95</w:t>
      </w:r>
      <w:r>
        <w:rPr>
          <w:rFonts w:hint="eastAsia"/>
        </w:rPr>
        <w:t>％以上的市场份额。风电机组单机容量也逐渐朝着大型方向发展，特别是海上风电场的开发，进一步加快了大容量风电机组的发展。国际风电主流机型从</w:t>
      </w:r>
      <w:r>
        <w:rPr>
          <w:rFonts w:hint="eastAsia"/>
        </w:rPr>
        <w:t>2000</w:t>
      </w:r>
      <w:r>
        <w:rPr>
          <w:rFonts w:hint="eastAsia"/>
        </w:rPr>
        <w:t>年的</w:t>
      </w:r>
      <w:r>
        <w:rPr>
          <w:rFonts w:hint="eastAsia"/>
        </w:rPr>
        <w:t>0.5~1</w:t>
      </w:r>
      <w:r>
        <w:rPr>
          <w:rFonts w:hint="eastAsia"/>
        </w:rPr>
        <w:t>兆瓦提高到</w:t>
      </w:r>
      <w:r>
        <w:rPr>
          <w:rFonts w:hint="eastAsia"/>
        </w:rPr>
        <w:t>1.5~2.5</w:t>
      </w:r>
      <w:r>
        <w:rPr>
          <w:rFonts w:hint="eastAsia"/>
        </w:rPr>
        <w:t>兆瓦，</w:t>
      </w:r>
      <w:r>
        <w:rPr>
          <w:rFonts w:hint="eastAsia"/>
        </w:rPr>
        <w:t>5~6</w:t>
      </w:r>
      <w:r>
        <w:rPr>
          <w:rFonts w:hint="eastAsia"/>
        </w:rPr>
        <w:t>兆瓦的风机开始生产运行，</w:t>
      </w:r>
      <w:r>
        <w:rPr>
          <w:rFonts w:hint="eastAsia"/>
        </w:rPr>
        <w:t>10~20</w:t>
      </w:r>
      <w:r>
        <w:rPr>
          <w:rFonts w:hint="eastAsia"/>
        </w:rPr>
        <w:t>兆瓦正在部署研发。而且随着风电机组的单机容量不断增大，各部件的性能指标都有了提高，新的电机驱动技术、智能控制技术、电网接入技术和发电预报技术等不断涌现，使得风电更为可靠，也更容易接入电网。由于变桨距功率调节方式具有载荷控制平稳、安全和高效等优点，近年在大型风电机组上得到了广泛采用。以丹麦</w:t>
      </w:r>
      <w:r>
        <w:rPr>
          <w:rFonts w:hint="eastAsia"/>
        </w:rPr>
        <w:t>Vestas</w:t>
      </w:r>
      <w:r>
        <w:rPr>
          <w:rFonts w:hint="eastAsia"/>
        </w:rPr>
        <w:t>公司的</w:t>
      </w:r>
      <w:r>
        <w:rPr>
          <w:rFonts w:hint="eastAsia"/>
        </w:rPr>
        <w:t>V80. V90</w:t>
      </w:r>
      <w:r>
        <w:rPr>
          <w:rFonts w:hint="eastAsia"/>
        </w:rPr>
        <w:t>为代表的双馈异步发电型变速风电机组，在国际风电市场中所占的份额最大。而由于无齿轮箱的直驱方式能有效地减少由于齿轮箱问题而造成的机组故障，可有效提高系统的运行可靠性和寿命，减少维护成本，也得到了市场的青睐。鉴于风电机组的极限载荷和疲劳载荷是影响风电机组及部件可靠性和寿命的主要因素之一，近年来，风电机组制造厂家与有关研究部门积极研究风电机组的最优运行和控制规律，通过采用智能化控制技术，与整机设计技术结合，努力减少和避免风电机组运行在极限载荷和疲劳载荷，并逐步成为风电控制技术的主要发展方向。此外，目前世界风电场建设和运营的技术水平日益提高，恶劣气侯环境下的风电机组可靠性也越来越得到重视，为加强电网安全的低电压穿越技术也得到广泛应用。由于技术进步、规模经济以及竞争加剧，风电成本显著下降，近几年折合为</w:t>
      </w:r>
      <w:r>
        <w:rPr>
          <w:rFonts w:hint="eastAsia"/>
        </w:rPr>
        <w:t>0.44</w:t>
      </w:r>
      <w:r>
        <w:rPr>
          <w:rFonts w:hint="eastAsia"/>
        </w:rPr>
        <w:t>元</w:t>
      </w:r>
      <w:r>
        <w:rPr>
          <w:rFonts w:hint="eastAsia"/>
        </w:rPr>
        <w:t>/</w:t>
      </w:r>
      <w:r>
        <w:rPr>
          <w:rFonts w:hint="eastAsia"/>
        </w:rPr>
        <w:t>千瓦时，与燃煤电厂折合的</w:t>
      </w:r>
      <w:r>
        <w:rPr>
          <w:rFonts w:hint="eastAsia"/>
        </w:rPr>
        <w:t>0.43</w:t>
      </w:r>
      <w:r>
        <w:rPr>
          <w:rFonts w:hint="eastAsia"/>
        </w:rPr>
        <w:t>元</w:t>
      </w:r>
      <w:r>
        <w:rPr>
          <w:rFonts w:hint="eastAsia"/>
        </w:rPr>
        <w:t>/</w:t>
      </w:r>
      <w:r>
        <w:rPr>
          <w:rFonts w:hint="eastAsia"/>
        </w:rPr>
        <w:t>千瓦时成本相近。</w:t>
      </w:r>
    </w:p>
    <w:p w:rsidR="00CA619C" w:rsidRDefault="00CA619C" w:rsidP="00CA619C">
      <w:pPr>
        <w:ind w:firstLine="480"/>
        <w:rPr>
          <w:rFonts w:hint="eastAsia"/>
        </w:rPr>
      </w:pPr>
      <w:r>
        <w:rPr>
          <w:rFonts w:hint="eastAsia"/>
        </w:rPr>
        <w:t>美国风力发电的核心技术是叶轮、叶片、发电机和发电机控制与调节技术等。其专利申请逐年快速增长并呈现出很好的发展态势，主要技术来源国家是美国本土，但大多数技术领军者都是国外企业。</w:t>
      </w:r>
    </w:p>
    <w:p w:rsidR="00CA619C" w:rsidRDefault="00CA619C" w:rsidP="00CA619C">
      <w:pPr>
        <w:ind w:firstLine="480"/>
        <w:rPr>
          <w:rFonts w:hint="eastAsia"/>
        </w:rPr>
      </w:pPr>
      <w:r>
        <w:rPr>
          <w:rFonts w:hint="eastAsia"/>
        </w:rPr>
        <w:t>美国风电设备市场国际化程度高，竞争激烈。</w:t>
      </w:r>
      <w:r>
        <w:rPr>
          <w:rFonts w:hint="eastAsia"/>
        </w:rPr>
        <w:t>2005</w:t>
      </w:r>
      <w:r>
        <w:rPr>
          <w:rFonts w:hint="eastAsia"/>
        </w:rPr>
        <w:t>年以前，在美国能够制造和安装</w:t>
      </w:r>
      <w:r>
        <w:rPr>
          <w:rFonts w:hint="eastAsia"/>
        </w:rPr>
        <w:t>1MW</w:t>
      </w:r>
      <w:r>
        <w:rPr>
          <w:rFonts w:hint="eastAsia"/>
        </w:rPr>
        <w:t>以上风电机组的企业只有</w:t>
      </w:r>
      <w:r>
        <w:rPr>
          <w:rFonts w:hint="eastAsia"/>
        </w:rPr>
        <w:t>4</w:t>
      </w:r>
      <w:r>
        <w:rPr>
          <w:rFonts w:hint="eastAsia"/>
        </w:rPr>
        <w:t>家，分别是美国本土企业</w:t>
      </w:r>
      <w:r>
        <w:rPr>
          <w:rFonts w:hint="eastAsia"/>
        </w:rPr>
        <w:t>GE</w:t>
      </w:r>
      <w:r>
        <w:rPr>
          <w:rFonts w:hint="eastAsia"/>
        </w:rPr>
        <w:t>公司、丹麦维斯塔斯公司（</w:t>
      </w:r>
      <w:r>
        <w:rPr>
          <w:rFonts w:hint="eastAsia"/>
        </w:rPr>
        <w:t>Vestas</w:t>
      </w:r>
      <w:r>
        <w:rPr>
          <w:rFonts w:hint="eastAsia"/>
        </w:rPr>
        <w:t>）、日本三菱重工和西班牙歌美飒公司（</w:t>
      </w:r>
      <w:r>
        <w:rPr>
          <w:rFonts w:hint="eastAsia"/>
        </w:rPr>
        <w:t>Gamesa</w:t>
      </w:r>
      <w:r>
        <w:rPr>
          <w:rFonts w:hint="eastAsia"/>
        </w:rPr>
        <w:t>）。其中，美国</w:t>
      </w:r>
      <w:r>
        <w:rPr>
          <w:rFonts w:hint="eastAsia"/>
        </w:rPr>
        <w:t>GE</w:t>
      </w:r>
      <w:r>
        <w:rPr>
          <w:rFonts w:hint="eastAsia"/>
        </w:rPr>
        <w:t>公司处于绝对领先地位，</w:t>
      </w:r>
      <w:r>
        <w:rPr>
          <w:rFonts w:hint="eastAsia"/>
        </w:rPr>
        <w:t>2005</w:t>
      </w:r>
      <w:r>
        <w:rPr>
          <w:rFonts w:hint="eastAsia"/>
        </w:rPr>
        <w:t>年前，其市场占有率超过</w:t>
      </w:r>
      <w:r>
        <w:rPr>
          <w:rFonts w:hint="eastAsia"/>
        </w:rPr>
        <w:t>60%</w:t>
      </w:r>
      <w:r>
        <w:rPr>
          <w:rFonts w:hint="eastAsia"/>
        </w:rPr>
        <w:t>。</w:t>
      </w:r>
      <w:r>
        <w:rPr>
          <w:rFonts w:hint="eastAsia"/>
        </w:rPr>
        <w:t>2005</w:t>
      </w:r>
      <w:r>
        <w:rPr>
          <w:rFonts w:hint="eastAsia"/>
        </w:rPr>
        <w:t>年之后，美国风电产业发展迅速，外资企业纷纷进入美国风电市场。到</w:t>
      </w:r>
      <w:r>
        <w:rPr>
          <w:rFonts w:hint="eastAsia"/>
        </w:rPr>
        <w:t>2011</w:t>
      </w:r>
      <w:r>
        <w:rPr>
          <w:rFonts w:hint="eastAsia"/>
        </w:rPr>
        <w:t>年，在美国能够生产和安装</w:t>
      </w:r>
      <w:r>
        <w:rPr>
          <w:rFonts w:hint="eastAsia"/>
        </w:rPr>
        <w:t>1MW</w:t>
      </w:r>
      <w:r>
        <w:rPr>
          <w:rFonts w:hint="eastAsia"/>
        </w:rPr>
        <w:t>以上风电机组的企业已达</w:t>
      </w:r>
      <w:r>
        <w:rPr>
          <w:rFonts w:hint="eastAsia"/>
        </w:rPr>
        <w:t>20</w:t>
      </w:r>
      <w:r>
        <w:rPr>
          <w:rFonts w:hint="eastAsia"/>
        </w:rPr>
        <w:t>家，相关风电设备零部件生产企业近</w:t>
      </w:r>
      <w:r>
        <w:rPr>
          <w:rFonts w:hint="eastAsia"/>
        </w:rPr>
        <w:t>500</w:t>
      </w:r>
      <w:r>
        <w:rPr>
          <w:rFonts w:hint="eastAsia"/>
        </w:rPr>
        <w:t>家，从业人员超过</w:t>
      </w:r>
      <w:r>
        <w:rPr>
          <w:rFonts w:hint="eastAsia"/>
        </w:rPr>
        <w:t>7.5</w:t>
      </w:r>
      <w:r>
        <w:rPr>
          <w:rFonts w:hint="eastAsia"/>
        </w:rPr>
        <w:t>万人。根据美国能源部的报告，美国</w:t>
      </w:r>
      <w:r>
        <w:rPr>
          <w:rFonts w:hint="eastAsia"/>
        </w:rPr>
        <w:t>GE</w:t>
      </w:r>
      <w:r>
        <w:rPr>
          <w:rFonts w:hint="eastAsia"/>
        </w:rPr>
        <w:t>公司、丹麦维斯塔斯公司和德国西门子公司</w:t>
      </w:r>
      <w:r>
        <w:rPr>
          <w:rFonts w:hint="eastAsia"/>
        </w:rPr>
        <w:t>2011</w:t>
      </w:r>
      <w:r>
        <w:rPr>
          <w:rFonts w:hint="eastAsia"/>
        </w:rPr>
        <w:t>年的全美市场占有率分别达</w:t>
      </w:r>
      <w:r>
        <w:rPr>
          <w:rFonts w:hint="eastAsia"/>
        </w:rPr>
        <w:t>29%</w:t>
      </w:r>
      <w:r>
        <w:rPr>
          <w:rFonts w:hint="eastAsia"/>
        </w:rPr>
        <w:t>、</w:t>
      </w:r>
      <w:r>
        <w:rPr>
          <w:rFonts w:hint="eastAsia"/>
        </w:rPr>
        <w:t>29%</w:t>
      </w:r>
      <w:r>
        <w:rPr>
          <w:rFonts w:hint="eastAsia"/>
        </w:rPr>
        <w:t>和</w:t>
      </w:r>
      <w:r>
        <w:rPr>
          <w:rFonts w:hint="eastAsia"/>
        </w:rPr>
        <w:t>18%</w:t>
      </w:r>
      <w:r>
        <w:rPr>
          <w:rFonts w:hint="eastAsia"/>
        </w:rPr>
        <w:t>，成为美国风电市场的三大企业。其他风电公司，如日本三菱重工、西班牙歌美飒、印度苏司兰（</w:t>
      </w:r>
      <w:r>
        <w:rPr>
          <w:rFonts w:hint="eastAsia"/>
        </w:rPr>
        <w:t>Suzlon</w:t>
      </w:r>
      <w:r>
        <w:rPr>
          <w:rFonts w:hint="eastAsia"/>
        </w:rPr>
        <w:t>）、德国恩德风电公司（</w:t>
      </w:r>
      <w:r>
        <w:rPr>
          <w:rFonts w:hint="eastAsia"/>
        </w:rPr>
        <w:t>Nordex</w:t>
      </w:r>
      <w:r>
        <w:rPr>
          <w:rFonts w:hint="eastAsia"/>
        </w:rPr>
        <w:t>）、美国</w:t>
      </w:r>
      <w:r>
        <w:rPr>
          <w:rFonts w:hint="eastAsia"/>
        </w:rPr>
        <w:t>Clipper</w:t>
      </w:r>
      <w:r>
        <w:rPr>
          <w:rFonts w:hint="eastAsia"/>
        </w:rPr>
        <w:t>公司、德国瑞能公司（</w:t>
      </w:r>
      <w:r>
        <w:rPr>
          <w:rFonts w:hint="eastAsia"/>
        </w:rPr>
        <w:t>REpower</w:t>
      </w:r>
      <w:r>
        <w:rPr>
          <w:rFonts w:hint="eastAsia"/>
        </w:rPr>
        <w:t>）和西班牙安讯能能源公司（</w:t>
      </w:r>
      <w:r>
        <w:rPr>
          <w:rFonts w:hint="eastAsia"/>
        </w:rPr>
        <w:t>AccionaEnergy</w:t>
      </w:r>
      <w:r>
        <w:rPr>
          <w:rFonts w:hint="eastAsia"/>
        </w:rPr>
        <w:t>）等众多企业的市场占有率只有</w:t>
      </w:r>
      <w:r>
        <w:rPr>
          <w:rFonts w:hint="eastAsia"/>
        </w:rPr>
        <w:t>2%</w:t>
      </w:r>
      <w:r>
        <w:rPr>
          <w:rFonts w:hint="eastAsia"/>
        </w:rPr>
        <w:t>～</w:t>
      </w:r>
      <w:r>
        <w:rPr>
          <w:rFonts w:hint="eastAsia"/>
        </w:rPr>
        <w:t>5%</w:t>
      </w:r>
      <w:r>
        <w:rPr>
          <w:rFonts w:hint="eastAsia"/>
        </w:rPr>
        <w:t>。中国在风电机组制造和安装量均排名世界第</w:t>
      </w:r>
      <w:r>
        <w:rPr>
          <w:rFonts w:hint="eastAsia"/>
        </w:rPr>
        <w:t>1</w:t>
      </w:r>
      <w:r>
        <w:rPr>
          <w:rFonts w:hint="eastAsia"/>
        </w:rPr>
        <w:t>，但在美国市场上的占有率非常低。中国的三一重工、金风科技和华锐风电于</w:t>
      </w:r>
      <w:r>
        <w:rPr>
          <w:rFonts w:hint="eastAsia"/>
        </w:rPr>
        <w:t>2011</w:t>
      </w:r>
      <w:r>
        <w:rPr>
          <w:rFonts w:hint="eastAsia"/>
        </w:rPr>
        <w:t>年开始进入美国风电市场，分别安装了</w:t>
      </w:r>
      <w:r>
        <w:rPr>
          <w:rFonts w:hint="eastAsia"/>
        </w:rPr>
        <w:t>10MW</w:t>
      </w:r>
      <w:r>
        <w:rPr>
          <w:rFonts w:hint="eastAsia"/>
        </w:rPr>
        <w:t>、</w:t>
      </w:r>
      <w:r>
        <w:rPr>
          <w:rFonts w:hint="eastAsia"/>
        </w:rPr>
        <w:t>4.5MW</w:t>
      </w:r>
      <w:r>
        <w:rPr>
          <w:rFonts w:hint="eastAsia"/>
        </w:rPr>
        <w:t>和</w:t>
      </w:r>
      <w:r>
        <w:rPr>
          <w:rFonts w:hint="eastAsia"/>
        </w:rPr>
        <w:t>1.5MW</w:t>
      </w:r>
      <w:r>
        <w:rPr>
          <w:rFonts w:hint="eastAsia"/>
        </w:rPr>
        <w:t>风电机组，与美国</w:t>
      </w:r>
      <w:r>
        <w:rPr>
          <w:rFonts w:hint="eastAsia"/>
        </w:rPr>
        <w:t>GE</w:t>
      </w:r>
      <w:r>
        <w:rPr>
          <w:rFonts w:hint="eastAsia"/>
        </w:rPr>
        <w:t>公司每年</w:t>
      </w:r>
      <w:r>
        <w:rPr>
          <w:rFonts w:hint="eastAsia"/>
        </w:rPr>
        <w:t>2000MW</w:t>
      </w:r>
      <w:r>
        <w:rPr>
          <w:rFonts w:hint="eastAsia"/>
        </w:rPr>
        <w:t>的生产和安装量相比，相距甚远。</w:t>
      </w:r>
    </w:p>
    <w:p w:rsidR="00CA619C" w:rsidRDefault="00CA619C" w:rsidP="00CA619C">
      <w:pPr>
        <w:ind w:firstLine="480"/>
        <w:rPr>
          <w:rFonts w:hint="eastAsia"/>
        </w:rPr>
      </w:pPr>
      <w:r>
        <w:rPr>
          <w:rFonts w:hint="eastAsia"/>
        </w:rPr>
        <w:t>越来越多的在美外资企业把风电设备和部件生产转移到美国境内，使美国风电设备的国产化率由</w:t>
      </w:r>
      <w:r>
        <w:rPr>
          <w:rFonts w:hint="eastAsia"/>
        </w:rPr>
        <w:t>2005</w:t>
      </w:r>
      <w:r>
        <w:rPr>
          <w:rFonts w:hint="eastAsia"/>
        </w:rPr>
        <w:t>年的</w:t>
      </w:r>
      <w:r>
        <w:rPr>
          <w:rFonts w:hint="eastAsia"/>
        </w:rPr>
        <w:t>35%</w:t>
      </w:r>
      <w:r>
        <w:rPr>
          <w:rFonts w:hint="eastAsia"/>
        </w:rPr>
        <w:t>，提高到了</w:t>
      </w:r>
      <w:r>
        <w:rPr>
          <w:rFonts w:hint="eastAsia"/>
        </w:rPr>
        <w:t>2011</w:t>
      </w:r>
      <w:r>
        <w:rPr>
          <w:rFonts w:hint="eastAsia"/>
        </w:rPr>
        <w:t>年的</w:t>
      </w:r>
      <w:r>
        <w:rPr>
          <w:rFonts w:hint="eastAsia"/>
        </w:rPr>
        <w:t>67%</w:t>
      </w:r>
      <w:r>
        <w:rPr>
          <w:rFonts w:hint="eastAsia"/>
        </w:rPr>
        <w:t>。同时，美国风电设备出口也有所增加，出口额从</w:t>
      </w:r>
      <w:r>
        <w:rPr>
          <w:rFonts w:hint="eastAsia"/>
        </w:rPr>
        <w:t>2007</w:t>
      </w:r>
      <w:r>
        <w:rPr>
          <w:rFonts w:hint="eastAsia"/>
        </w:rPr>
        <w:t>年的</w:t>
      </w:r>
      <w:r>
        <w:rPr>
          <w:rFonts w:hint="eastAsia"/>
        </w:rPr>
        <w:t>1500</w:t>
      </w:r>
      <w:r>
        <w:rPr>
          <w:rFonts w:hint="eastAsia"/>
        </w:rPr>
        <w:t>万美元，增长到</w:t>
      </w:r>
      <w:r>
        <w:rPr>
          <w:rFonts w:hint="eastAsia"/>
        </w:rPr>
        <w:t>2011</w:t>
      </w:r>
      <w:r>
        <w:rPr>
          <w:rFonts w:hint="eastAsia"/>
        </w:rPr>
        <w:t>年的</w:t>
      </w:r>
      <w:r>
        <w:rPr>
          <w:rFonts w:hint="eastAsia"/>
        </w:rPr>
        <w:t>1.49</w:t>
      </w:r>
      <w:r>
        <w:rPr>
          <w:rFonts w:hint="eastAsia"/>
        </w:rPr>
        <w:t>亿美元。目前，美国依然是世界上最大的风电设备净进口国。</w:t>
      </w:r>
    </w:p>
    <w:p w:rsidR="00CA619C" w:rsidRDefault="00CA619C" w:rsidP="00CA619C">
      <w:pPr>
        <w:ind w:firstLine="480"/>
      </w:pPr>
      <w:r>
        <w:rPr>
          <w:rFonts w:hint="eastAsia"/>
        </w:rPr>
        <w:t>另外，从专利申请来看，根据中国科学技术信息研究雷孝平，刘润生等对美国风电专利在</w:t>
      </w:r>
      <w:r>
        <w:rPr>
          <w:rFonts w:hint="eastAsia"/>
        </w:rPr>
        <w:t>2011</w:t>
      </w:r>
      <w:r>
        <w:rPr>
          <w:rFonts w:hint="eastAsia"/>
        </w:rPr>
        <w:t>年</w:t>
      </w:r>
      <w:r>
        <w:rPr>
          <w:rFonts w:hint="eastAsia"/>
        </w:rPr>
        <w:t>4</w:t>
      </w:r>
      <w:r>
        <w:rPr>
          <w:rFonts w:hint="eastAsia"/>
        </w:rPr>
        <w:t>月的数据进行的分析，美国在七十年代初期开始出现风能技术相关专利申请，然后风能技术经过七十年代中后期的发展和积累，在七十年代末八十年代初达到一个小高峰。之后有一段时间的下降，并在很长一段时间都处于很低的平缓趋势。随后又在</w:t>
      </w:r>
      <w:r>
        <w:rPr>
          <w:rFonts w:hint="eastAsia"/>
        </w:rPr>
        <w:t>2000</w:t>
      </w:r>
      <w:r>
        <w:rPr>
          <w:rFonts w:hint="eastAsia"/>
        </w:rPr>
        <w:t>年以后开始快速增长，专利申请数量在</w:t>
      </w:r>
      <w:r>
        <w:rPr>
          <w:rFonts w:hint="eastAsia"/>
        </w:rPr>
        <w:t>2008</w:t>
      </w:r>
      <w:r>
        <w:rPr>
          <w:rFonts w:hint="eastAsia"/>
        </w:rPr>
        <w:t>年达到高峰，呈现出强劲的发展态势。</w:t>
      </w:r>
    </w:p>
    <w:p w:rsidR="00CA619C" w:rsidRDefault="00CA619C" w:rsidP="00CA619C">
      <w:pPr>
        <w:ind w:firstLine="480"/>
        <w:jc w:val="center"/>
      </w:pPr>
      <w:r>
        <w:rPr>
          <w:noProof/>
          <w:lang w:eastAsia="en-US"/>
        </w:rPr>
        <w:drawing>
          <wp:inline distT="0" distB="0" distL="0" distR="0">
            <wp:extent cx="4351020" cy="2332990"/>
            <wp:effectExtent l="0" t="0" r="0" b="3810"/>
            <wp:docPr id="1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7">
                      <a:extLst>
                        <a:ext uri="{28A0092B-C50C-407E-A947-70E740481C1C}">
                          <a14:useLocalDpi xmlns:a14="http://schemas.microsoft.com/office/drawing/2010/main" val="0"/>
                        </a:ext>
                      </a:extLst>
                    </a:blip>
                    <a:srcRect l="1288" t="1347" r="1822" b="4283"/>
                    <a:stretch>
                      <a:fillRect/>
                    </a:stretch>
                  </pic:blipFill>
                  <pic:spPr bwMode="auto">
                    <a:xfrm>
                      <a:off x="0" y="0"/>
                      <a:ext cx="4351020" cy="2332990"/>
                    </a:xfrm>
                    <a:prstGeom prst="rect">
                      <a:avLst/>
                    </a:prstGeom>
                    <a:noFill/>
                    <a:ln>
                      <a:noFill/>
                    </a:ln>
                  </pic:spPr>
                </pic:pic>
              </a:graphicData>
            </a:graphic>
          </wp:inline>
        </w:drawing>
      </w:r>
    </w:p>
    <w:p w:rsidR="00CA619C" w:rsidRDefault="00CA619C" w:rsidP="00CA619C">
      <w:pPr>
        <w:pStyle w:val="a3"/>
        <w:rPr>
          <w:rFonts w:hint="eastAsia"/>
        </w:rPr>
      </w:pPr>
      <w:bookmarkStart w:id="24" w:name="_Toc392853196"/>
      <w:r>
        <w:rPr>
          <w:rFonts w:hint="eastAsia"/>
        </w:rPr>
        <w:t>美国风能技术专利年度申请状况（</w:t>
      </w:r>
      <w:r>
        <w:rPr>
          <w:rFonts w:hint="eastAsia"/>
        </w:rPr>
        <w:t>1971-2009</w:t>
      </w:r>
      <w:r>
        <w:rPr>
          <w:rFonts w:hint="eastAsia"/>
        </w:rPr>
        <w:t>）</w:t>
      </w:r>
      <w:bookmarkEnd w:id="24"/>
    </w:p>
    <w:p w:rsidR="00CA619C" w:rsidRDefault="00CA619C" w:rsidP="00CA619C">
      <w:pPr>
        <w:pStyle w:val="a2"/>
        <w:ind w:left="840"/>
        <w:rPr>
          <w:rFonts w:hint="eastAsia"/>
        </w:rPr>
      </w:pPr>
      <w:r>
        <w:rPr>
          <w:rFonts w:hint="eastAsia"/>
        </w:rPr>
        <w:t>（来源：美国风电产业及技术发展状况研究，</w:t>
      </w:r>
      <w:r>
        <w:rPr>
          <w:rFonts w:hint="eastAsia"/>
        </w:rPr>
        <w:t>2011</w:t>
      </w:r>
      <w:r>
        <w:t>.</w:t>
      </w:r>
      <w:r>
        <w:rPr>
          <w:rFonts w:hint="eastAsia"/>
        </w:rPr>
        <w:t>）</w:t>
      </w:r>
    </w:p>
    <w:p w:rsidR="00CA619C" w:rsidRDefault="00CA619C" w:rsidP="00CA619C">
      <w:pPr>
        <w:ind w:firstLine="480"/>
        <w:rPr>
          <w:rFonts w:hint="eastAsia"/>
        </w:rPr>
      </w:pPr>
      <w:r>
        <w:rPr>
          <w:rFonts w:hint="eastAsia"/>
        </w:rPr>
        <w:t>而且美国风能技术的主要技术来源国家是美国本土，优先权国家为美国的专利占美国全部风能专利的</w:t>
      </w:r>
      <w:r>
        <w:rPr>
          <w:rFonts w:hint="eastAsia"/>
        </w:rPr>
        <w:t>72%</w:t>
      </w:r>
      <w:r>
        <w:rPr>
          <w:rFonts w:hint="eastAsia"/>
        </w:rPr>
        <w:t>，说明美国本土具备较强的技术优势。企业是技术创新的主体，专利是创新的成果。从企业所属国别来看，美国风能专利拥有量排名前十位的企业中，只有一家是美国本土的企业，排名第一位的通用电气公司。该公司有</w:t>
      </w:r>
      <w:r>
        <w:rPr>
          <w:rFonts w:hint="eastAsia"/>
        </w:rPr>
        <w:t>580</w:t>
      </w:r>
      <w:r>
        <w:rPr>
          <w:rFonts w:hint="eastAsia"/>
        </w:rPr>
        <w:t>件专利申请，远远超过了其它公司。其余的九家企业都是国外的公司。从专利拥有量的集中程度来看，美国排名前</w:t>
      </w:r>
      <w:r>
        <w:rPr>
          <w:rFonts w:hint="eastAsia"/>
        </w:rPr>
        <w:t>l0</w:t>
      </w:r>
      <w:r>
        <w:rPr>
          <w:rFonts w:hint="eastAsia"/>
        </w:rPr>
        <w:t>位的企业虽然只占专利权人总量</w:t>
      </w:r>
      <w:r>
        <w:rPr>
          <w:rFonts w:hint="eastAsia"/>
        </w:rPr>
        <w:t>(5</w:t>
      </w:r>
      <w:r>
        <w:rPr>
          <w:rFonts w:hint="eastAsia"/>
        </w:rPr>
        <w:t>，</w:t>
      </w:r>
      <w:r>
        <w:rPr>
          <w:rFonts w:hint="eastAsia"/>
        </w:rPr>
        <w:t>986)</w:t>
      </w:r>
      <w:r>
        <w:rPr>
          <w:rFonts w:hint="eastAsia"/>
        </w:rPr>
        <w:t>的</w:t>
      </w:r>
      <w:r>
        <w:rPr>
          <w:rFonts w:hint="eastAsia"/>
        </w:rPr>
        <w:t>0.17</w:t>
      </w:r>
      <w:r>
        <w:rPr>
          <w:rFonts w:hint="eastAsia"/>
        </w:rPr>
        <w:t>％，但却拥有</w:t>
      </w:r>
      <w:r>
        <w:rPr>
          <w:rFonts w:hint="eastAsia"/>
        </w:rPr>
        <w:t>1520</w:t>
      </w:r>
      <w:r>
        <w:rPr>
          <w:rFonts w:hint="eastAsia"/>
        </w:rPr>
        <w:t>件专利，占美国风能专利总量的</w:t>
      </w:r>
      <w:r>
        <w:rPr>
          <w:rFonts w:hint="eastAsia"/>
        </w:rPr>
        <w:t>29</w:t>
      </w:r>
      <w:r>
        <w:rPr>
          <w:rFonts w:hint="eastAsia"/>
        </w:rPr>
        <w:t>％。说明美国风能专利申请具有一定的集中性，，大约有</w:t>
      </w:r>
      <w:r>
        <w:rPr>
          <w:rFonts w:hint="eastAsia"/>
        </w:rPr>
        <w:t>70</w:t>
      </w:r>
      <w:r>
        <w:rPr>
          <w:rFonts w:hint="eastAsia"/>
        </w:rPr>
        <w:t>％一</w:t>
      </w:r>
      <w:r>
        <w:rPr>
          <w:rFonts w:hint="eastAsia"/>
        </w:rPr>
        <w:t>80</w:t>
      </w:r>
      <w:r>
        <w:rPr>
          <w:rFonts w:hint="eastAsia"/>
        </w:rPr>
        <w:t>％被大型企业所拥有，其中通用电气占有</w:t>
      </w:r>
      <w:r>
        <w:rPr>
          <w:rFonts w:hint="eastAsia"/>
        </w:rPr>
        <w:t>20</w:t>
      </w:r>
      <w:r>
        <w:rPr>
          <w:rFonts w:hint="eastAsia"/>
        </w:rPr>
        <w:t>％一</w:t>
      </w:r>
      <w:r>
        <w:rPr>
          <w:rFonts w:hint="eastAsia"/>
        </w:rPr>
        <w:t>30</w:t>
      </w:r>
      <w:r>
        <w:rPr>
          <w:rFonts w:hint="eastAsia"/>
        </w:rPr>
        <w:t>％左右的专利份额，远远超过了其它公司。</w:t>
      </w:r>
    </w:p>
    <w:p w:rsidR="00CA619C" w:rsidRDefault="00CA619C" w:rsidP="00CA619C">
      <w:pPr>
        <w:ind w:firstLine="480"/>
        <w:jc w:val="center"/>
        <w:rPr>
          <w:lang w:val="en-US" w:eastAsia="en-US"/>
        </w:rPr>
      </w:pPr>
      <w:r>
        <w:rPr>
          <w:noProof/>
          <w:lang w:eastAsia="en-US"/>
        </w:rPr>
        <w:drawing>
          <wp:inline distT="0" distB="0" distL="0" distR="0">
            <wp:extent cx="4777105" cy="2569845"/>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77105" cy="2569845"/>
                    </a:xfrm>
                    <a:prstGeom prst="rect">
                      <a:avLst/>
                    </a:prstGeom>
                    <a:noFill/>
                    <a:ln>
                      <a:noFill/>
                    </a:ln>
                  </pic:spPr>
                </pic:pic>
              </a:graphicData>
            </a:graphic>
          </wp:inline>
        </w:drawing>
      </w:r>
    </w:p>
    <w:p w:rsidR="00CA619C" w:rsidRDefault="00CA619C" w:rsidP="00CA619C">
      <w:pPr>
        <w:pStyle w:val="a3"/>
        <w:rPr>
          <w:lang w:val="en-US" w:eastAsia="en-US"/>
        </w:rPr>
      </w:pPr>
      <w:bookmarkStart w:id="25" w:name="_Toc392853197"/>
      <w:r>
        <w:rPr>
          <w:rFonts w:hint="eastAsia"/>
          <w:lang w:val="en-US"/>
        </w:rPr>
        <w:t>美国风能技术专利来源国家分析</w:t>
      </w:r>
      <w:bookmarkEnd w:id="25"/>
    </w:p>
    <w:p w:rsidR="00CA619C" w:rsidRDefault="00CA619C" w:rsidP="00CA619C">
      <w:pPr>
        <w:pStyle w:val="a2"/>
        <w:ind w:left="840"/>
        <w:rPr>
          <w:rFonts w:hint="eastAsia"/>
        </w:rPr>
      </w:pPr>
      <w:r>
        <w:rPr>
          <w:rFonts w:hint="eastAsia"/>
        </w:rPr>
        <w:t>（来源：美国风电产业及技术发展状况研究，</w:t>
      </w:r>
      <w:r>
        <w:rPr>
          <w:rFonts w:hint="eastAsia"/>
        </w:rPr>
        <w:t>2011</w:t>
      </w:r>
      <w:r>
        <w:t>.</w:t>
      </w:r>
      <w:r>
        <w:rPr>
          <w:rFonts w:hint="eastAsia"/>
        </w:rPr>
        <w:t>）</w:t>
      </w:r>
    </w:p>
    <w:p w:rsidR="00CA619C" w:rsidRDefault="00CA619C" w:rsidP="00CA619C">
      <w:pPr>
        <w:pStyle w:val="Heading3"/>
        <w:numPr>
          <w:ilvl w:val="2"/>
          <w:numId w:val="1"/>
        </w:numPr>
        <w:rPr>
          <w:rFonts w:hint="eastAsia"/>
        </w:rPr>
      </w:pPr>
      <w:bookmarkStart w:id="26" w:name="_Toc392853111"/>
      <w:r>
        <w:rPr>
          <w:rFonts w:hint="eastAsia"/>
        </w:rPr>
        <w:t>中国风电产业现状与技术水平</w:t>
      </w:r>
      <w:bookmarkEnd w:id="26"/>
    </w:p>
    <w:p w:rsidR="00CA619C" w:rsidRDefault="00CA619C" w:rsidP="00CA619C">
      <w:pPr>
        <w:pStyle w:val="Heading4"/>
        <w:rPr>
          <w:rFonts w:hint="eastAsia"/>
        </w:rPr>
      </w:pPr>
      <w:r>
        <w:rPr>
          <w:rFonts w:hint="eastAsia"/>
        </w:rPr>
        <w:t>中国风电产业现状</w:t>
      </w:r>
    </w:p>
    <w:p w:rsidR="00CA619C" w:rsidRDefault="00CA619C" w:rsidP="00CA619C">
      <w:pPr>
        <w:ind w:firstLine="480"/>
        <w:rPr>
          <w:rFonts w:hint="eastAsia"/>
        </w:rPr>
      </w:pPr>
      <w:r>
        <w:rPr>
          <w:rFonts w:hint="eastAsia"/>
        </w:rPr>
        <w:t>在我国可再生能源技术中，风电技术相对比较成熟、成本较低，发展也最为迅速。根据中国风能协会发布的《</w:t>
      </w:r>
      <w:r>
        <w:rPr>
          <w:rFonts w:hint="eastAsia"/>
        </w:rPr>
        <w:t>2012</w:t>
      </w:r>
      <w:r>
        <w:rPr>
          <w:rFonts w:hint="eastAsia"/>
        </w:rPr>
        <w:t>年中国风电装机容量统计》报告，</w:t>
      </w:r>
      <w:r>
        <w:rPr>
          <w:rFonts w:hint="eastAsia"/>
        </w:rPr>
        <w:t>2012</w:t>
      </w:r>
      <w:r>
        <w:rPr>
          <w:rFonts w:hint="eastAsia"/>
        </w:rPr>
        <w:t>年中国（不包括台湾地区）新增安装风电机组</w:t>
      </w:r>
      <w:r>
        <w:rPr>
          <w:rFonts w:hint="eastAsia"/>
        </w:rPr>
        <w:t>7872</w:t>
      </w:r>
      <w:r>
        <w:rPr>
          <w:rFonts w:hint="eastAsia"/>
        </w:rPr>
        <w:t>台，装机容量</w:t>
      </w:r>
      <w:r>
        <w:rPr>
          <w:rFonts w:hint="eastAsia"/>
        </w:rPr>
        <w:t>1296</w:t>
      </w:r>
      <w:r>
        <w:rPr>
          <w:rFonts w:hint="eastAsia"/>
        </w:rPr>
        <w:t>万千瓦，同比下降</w:t>
      </w:r>
      <w:r>
        <w:rPr>
          <w:rFonts w:hint="eastAsia"/>
        </w:rPr>
        <w:t>26.5%</w:t>
      </w:r>
      <w:r>
        <w:rPr>
          <w:rFonts w:hint="eastAsia"/>
        </w:rPr>
        <w:t>；累计安装风电机组</w:t>
      </w:r>
      <w:r>
        <w:rPr>
          <w:rFonts w:hint="eastAsia"/>
        </w:rPr>
        <w:t>53764</w:t>
      </w:r>
      <w:r>
        <w:rPr>
          <w:rFonts w:hint="eastAsia"/>
        </w:rPr>
        <w:t>台，装机容量</w:t>
      </w:r>
      <w:r>
        <w:rPr>
          <w:rFonts w:hint="eastAsia"/>
        </w:rPr>
        <w:t>7532</w:t>
      </w:r>
      <w:r>
        <w:t>.</w:t>
      </w:r>
      <w:r>
        <w:rPr>
          <w:rFonts w:hint="eastAsia"/>
        </w:rPr>
        <w:t>42</w:t>
      </w:r>
      <w:r>
        <w:rPr>
          <w:rFonts w:hint="eastAsia"/>
        </w:rPr>
        <w:t>万千瓦，同比增长</w:t>
      </w:r>
      <w:r>
        <w:rPr>
          <w:rFonts w:hint="eastAsia"/>
        </w:rPr>
        <w:t>20.8%</w:t>
      </w:r>
      <w:r>
        <w:rPr>
          <w:rFonts w:hint="eastAsia"/>
        </w:rPr>
        <w:t>。</w:t>
      </w:r>
      <w:r>
        <w:rPr>
          <w:rFonts w:hint="eastAsia"/>
        </w:rPr>
        <w:t>2012</w:t>
      </w:r>
      <w:r>
        <w:rPr>
          <w:rFonts w:hint="eastAsia"/>
        </w:rPr>
        <w:t>年，中国风电并网总量达到</w:t>
      </w:r>
      <w:r>
        <w:rPr>
          <w:rFonts w:hint="eastAsia"/>
        </w:rPr>
        <w:t>6083</w:t>
      </w:r>
      <w:r>
        <w:rPr>
          <w:rFonts w:hint="eastAsia"/>
        </w:rPr>
        <w:t>万千瓦，占全国并网总量的</w:t>
      </w:r>
      <w:r>
        <w:rPr>
          <w:rFonts w:hint="eastAsia"/>
        </w:rPr>
        <w:t>5.3%</w:t>
      </w:r>
      <w:r>
        <w:rPr>
          <w:rFonts w:hint="eastAsia"/>
        </w:rPr>
        <w:t>，发电量</w:t>
      </w:r>
      <w:r>
        <w:rPr>
          <w:rFonts w:hint="eastAsia"/>
        </w:rPr>
        <w:t>1004</w:t>
      </w:r>
      <w:r>
        <w:rPr>
          <w:rFonts w:hint="eastAsia"/>
        </w:rPr>
        <w:t>亿千瓦时，首次超过核电发电量，成为继煤电和水电之后的第三大主力电源。但和欧洲国家相比，我国风电发电量所占比较仍然较低，发展空间非常大。</w:t>
      </w:r>
    </w:p>
    <w:p w:rsidR="00CA619C" w:rsidRPr="005410B2" w:rsidRDefault="00CA619C" w:rsidP="00CA619C">
      <w:pPr>
        <w:pStyle w:val="a1"/>
        <w:keepNext/>
        <w:tabs>
          <w:tab w:val="clear" w:pos="0"/>
          <w:tab w:val="clear" w:pos="420"/>
        </w:tabs>
        <w:spacing w:line="360" w:lineRule="auto"/>
        <w:ind w:firstLineChars="0" w:firstLine="0"/>
        <w:jc w:val="center"/>
      </w:pPr>
      <w:r>
        <w:rPr>
          <w:noProof/>
          <w:lang w:eastAsia="en-US"/>
        </w:rPr>
        <w:drawing>
          <wp:inline distT="0" distB="0" distL="0" distR="0">
            <wp:extent cx="4634865" cy="2680335"/>
            <wp:effectExtent l="0" t="0" r="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34865" cy="2680335"/>
                    </a:xfrm>
                    <a:prstGeom prst="rect">
                      <a:avLst/>
                    </a:prstGeom>
                    <a:noFill/>
                    <a:ln>
                      <a:noFill/>
                    </a:ln>
                  </pic:spPr>
                </pic:pic>
              </a:graphicData>
            </a:graphic>
          </wp:inline>
        </w:drawing>
      </w:r>
    </w:p>
    <w:p w:rsidR="00CA619C" w:rsidRDefault="00CA619C" w:rsidP="00CA619C">
      <w:pPr>
        <w:pStyle w:val="a3"/>
        <w:rPr>
          <w:rFonts w:hint="eastAsia"/>
        </w:rPr>
      </w:pPr>
      <w:bookmarkStart w:id="27" w:name="_Toc359340953"/>
      <w:bookmarkStart w:id="28" w:name="_Toc392853198"/>
      <w:r>
        <w:rPr>
          <w:rFonts w:hint="eastAsia"/>
        </w:rPr>
        <w:t>2001</w:t>
      </w:r>
      <w:r>
        <w:rPr>
          <w:rFonts w:hint="eastAsia"/>
        </w:rPr>
        <w:t>年</w:t>
      </w:r>
      <w:r>
        <w:rPr>
          <w:rFonts w:hint="eastAsia"/>
        </w:rPr>
        <w:t>-2012</w:t>
      </w:r>
      <w:r>
        <w:rPr>
          <w:rFonts w:hint="eastAsia"/>
        </w:rPr>
        <w:t>年中国风电新增及累计装机容量</w:t>
      </w:r>
      <w:bookmarkEnd w:id="27"/>
      <w:r>
        <w:rPr>
          <w:rFonts w:hint="eastAsia"/>
        </w:rPr>
        <w:t>变化</w:t>
      </w:r>
      <w:bookmarkEnd w:id="28"/>
    </w:p>
    <w:p w:rsidR="00CA619C" w:rsidRDefault="00CA619C" w:rsidP="00CA619C">
      <w:pPr>
        <w:pStyle w:val="a2"/>
        <w:ind w:left="840"/>
        <w:rPr>
          <w:rFonts w:hint="eastAsia"/>
        </w:rPr>
      </w:pPr>
      <w:r>
        <w:rPr>
          <w:rFonts w:hint="eastAsia"/>
        </w:rPr>
        <w:t>（数据来源：</w:t>
      </w:r>
      <w:r>
        <w:rPr>
          <w:rFonts w:hint="eastAsia"/>
        </w:rPr>
        <w:t>CWEA</w:t>
      </w:r>
      <w:r>
        <w:rPr>
          <w:rFonts w:hint="eastAsia"/>
        </w:rPr>
        <w:t>）</w:t>
      </w:r>
    </w:p>
    <w:p w:rsidR="00CA619C" w:rsidRDefault="00CA619C" w:rsidP="00CA619C">
      <w:pPr>
        <w:ind w:firstLine="480"/>
        <w:rPr>
          <w:rFonts w:hint="eastAsia"/>
        </w:rPr>
      </w:pPr>
      <w:r>
        <w:rPr>
          <w:rFonts w:hint="eastAsia"/>
        </w:rPr>
        <w:t>2012</w:t>
      </w:r>
      <w:r>
        <w:rPr>
          <w:rFonts w:hint="eastAsia"/>
        </w:rPr>
        <w:t>年，中国海上风电新增装机</w:t>
      </w:r>
      <w:r>
        <w:rPr>
          <w:rFonts w:hint="eastAsia"/>
        </w:rPr>
        <w:t>46</w:t>
      </w:r>
      <w:r>
        <w:rPr>
          <w:rFonts w:hint="eastAsia"/>
        </w:rPr>
        <w:t>台，容量达到</w:t>
      </w:r>
      <w:r>
        <w:rPr>
          <w:rFonts w:hint="eastAsia"/>
        </w:rPr>
        <w:t>12</w:t>
      </w:r>
      <w:r>
        <w:t>.</w:t>
      </w:r>
      <w:r>
        <w:rPr>
          <w:rFonts w:hint="eastAsia"/>
        </w:rPr>
        <w:t>7</w:t>
      </w:r>
      <w:r>
        <w:rPr>
          <w:rFonts w:hint="eastAsia"/>
        </w:rPr>
        <w:t>万千瓦，其中潮间带装机量为</w:t>
      </w:r>
      <w:r>
        <w:rPr>
          <w:rFonts w:hint="eastAsia"/>
        </w:rPr>
        <w:t>11</w:t>
      </w:r>
      <w:r>
        <w:t>.</w:t>
      </w:r>
      <w:r>
        <w:rPr>
          <w:rFonts w:hint="eastAsia"/>
        </w:rPr>
        <w:t>3</w:t>
      </w:r>
      <w:r>
        <w:rPr>
          <w:rFonts w:hint="eastAsia"/>
        </w:rPr>
        <w:t>万千瓦，占海上风电新增装机总量的</w:t>
      </w:r>
      <w:r>
        <w:rPr>
          <w:rFonts w:hint="eastAsia"/>
        </w:rPr>
        <w:t>89%</w:t>
      </w:r>
      <w:r>
        <w:rPr>
          <w:rFonts w:hint="eastAsia"/>
        </w:rPr>
        <w:t>。截止</w:t>
      </w:r>
      <w:r>
        <w:rPr>
          <w:rFonts w:hint="eastAsia"/>
        </w:rPr>
        <w:t>2012</w:t>
      </w:r>
      <w:r>
        <w:rPr>
          <w:rFonts w:hint="eastAsia"/>
        </w:rPr>
        <w:t>年底，中国已建成的海上风电项目共计</w:t>
      </w:r>
      <w:r>
        <w:rPr>
          <w:rFonts w:hint="eastAsia"/>
        </w:rPr>
        <w:t>38</w:t>
      </w:r>
      <w:r>
        <w:t>.</w:t>
      </w:r>
      <w:r>
        <w:rPr>
          <w:rFonts w:hint="eastAsia"/>
        </w:rPr>
        <w:t>96</w:t>
      </w:r>
      <w:r>
        <w:rPr>
          <w:rFonts w:hint="eastAsia"/>
        </w:rPr>
        <w:t>万千瓦，是除英国、丹麦以外海上风电装机最多的国家。作为我国海上风电发展的一个重要组成部分，潮间带风电的开发进程较快。截止</w:t>
      </w:r>
      <w:r>
        <w:rPr>
          <w:rFonts w:hint="eastAsia"/>
        </w:rPr>
        <w:t>2012</w:t>
      </w:r>
      <w:r>
        <w:rPr>
          <w:rFonts w:hint="eastAsia"/>
        </w:rPr>
        <w:t>年底，我国潮间带风电装机容量达到</w:t>
      </w:r>
      <w:r>
        <w:rPr>
          <w:rFonts w:hint="eastAsia"/>
        </w:rPr>
        <w:t>26</w:t>
      </w:r>
      <w:r>
        <w:t>.</w:t>
      </w:r>
      <w:r>
        <w:rPr>
          <w:rFonts w:hint="eastAsia"/>
        </w:rPr>
        <w:t>15</w:t>
      </w:r>
      <w:r>
        <w:rPr>
          <w:rFonts w:hint="eastAsia"/>
        </w:rPr>
        <w:t>万千瓦，近海风电装机容量为</w:t>
      </w:r>
      <w:r>
        <w:rPr>
          <w:rFonts w:hint="eastAsia"/>
        </w:rPr>
        <w:t>12</w:t>
      </w:r>
      <w:r>
        <w:t>.</w:t>
      </w:r>
      <w:r>
        <w:rPr>
          <w:rFonts w:hint="eastAsia"/>
        </w:rPr>
        <w:t>81</w:t>
      </w:r>
      <w:r>
        <w:rPr>
          <w:rFonts w:hint="eastAsia"/>
        </w:rPr>
        <w:t>万千瓦，其中规模最大的近海风电项目为东海大桥海上项目（</w:t>
      </w:r>
      <w:r>
        <w:rPr>
          <w:rFonts w:hint="eastAsia"/>
        </w:rPr>
        <w:t>10</w:t>
      </w:r>
      <w:r>
        <w:t>.</w:t>
      </w:r>
      <w:r>
        <w:rPr>
          <w:rFonts w:hint="eastAsia"/>
        </w:rPr>
        <w:t>2</w:t>
      </w:r>
      <w:r>
        <w:rPr>
          <w:rFonts w:hint="eastAsia"/>
        </w:rPr>
        <w:t>万千瓦），其余主要为各风电机组制造商安装的样机。</w:t>
      </w:r>
    </w:p>
    <w:p w:rsidR="00CA619C" w:rsidRDefault="00CA619C" w:rsidP="00CA619C">
      <w:pPr>
        <w:ind w:firstLine="480"/>
        <w:rPr>
          <w:rFonts w:hint="eastAsia"/>
        </w:rPr>
      </w:pPr>
      <w:r>
        <w:rPr>
          <w:rFonts w:hint="eastAsia"/>
        </w:rPr>
        <w:t>2012</w:t>
      </w:r>
      <w:r>
        <w:rPr>
          <w:rFonts w:hint="eastAsia"/>
        </w:rPr>
        <w:t>年，中国风电新增装机容量排名前</w:t>
      </w:r>
      <w:r>
        <w:rPr>
          <w:rFonts w:hint="eastAsia"/>
        </w:rPr>
        <w:t>20</w:t>
      </w:r>
      <w:r>
        <w:rPr>
          <w:rFonts w:hint="eastAsia"/>
        </w:rPr>
        <w:t>的企业几乎占据了国内</w:t>
      </w:r>
      <w:r>
        <w:rPr>
          <w:rFonts w:hint="eastAsia"/>
        </w:rPr>
        <w:t>98%</w:t>
      </w:r>
      <w:r>
        <w:rPr>
          <w:rFonts w:hint="eastAsia"/>
        </w:rPr>
        <w:t>的市场份额，其中金风新增风电装机容量最多，达到</w:t>
      </w:r>
      <w:r>
        <w:rPr>
          <w:rFonts w:hint="eastAsia"/>
        </w:rPr>
        <w:t>252.15</w:t>
      </w:r>
      <w:r>
        <w:rPr>
          <w:rFonts w:hint="eastAsia"/>
        </w:rPr>
        <w:t>万千瓦，占据</w:t>
      </w:r>
      <w:r>
        <w:rPr>
          <w:rFonts w:hint="eastAsia"/>
        </w:rPr>
        <w:t>19.5%</w:t>
      </w:r>
      <w:r>
        <w:rPr>
          <w:rFonts w:hint="eastAsia"/>
        </w:rPr>
        <w:t>的市场份额。</w:t>
      </w:r>
      <w:r>
        <w:rPr>
          <w:rFonts w:hint="eastAsia"/>
        </w:rPr>
        <w:t>2012</w:t>
      </w:r>
      <w:r>
        <w:rPr>
          <w:rFonts w:hint="eastAsia"/>
        </w:rPr>
        <w:t>年，我国风电新增装机容量排名前</w:t>
      </w:r>
      <w:r>
        <w:rPr>
          <w:rFonts w:hint="eastAsia"/>
        </w:rPr>
        <w:t>3</w:t>
      </w:r>
      <w:r>
        <w:rPr>
          <w:rFonts w:hint="eastAsia"/>
        </w:rPr>
        <w:t>的企业分别为金风、联合动力和华锐。</w:t>
      </w:r>
    </w:p>
    <w:p w:rsidR="00CA619C" w:rsidRDefault="00CA619C" w:rsidP="00CA619C">
      <w:pPr>
        <w:ind w:firstLine="480"/>
        <w:rPr>
          <w:rFonts w:hint="eastAsia"/>
        </w:rPr>
      </w:pPr>
      <w:r>
        <w:rPr>
          <w:rFonts w:hint="eastAsia"/>
        </w:rPr>
        <w:t>截止</w:t>
      </w:r>
      <w:r>
        <w:rPr>
          <w:rFonts w:hint="eastAsia"/>
        </w:rPr>
        <w:t>2012</w:t>
      </w:r>
      <w:r>
        <w:rPr>
          <w:rFonts w:hint="eastAsia"/>
        </w:rPr>
        <w:t>年底，我国风电机组制造商已出口的风电机组共计</w:t>
      </w:r>
      <w:r>
        <w:rPr>
          <w:rFonts w:hint="eastAsia"/>
        </w:rPr>
        <w:t>407</w:t>
      </w:r>
      <w:r>
        <w:rPr>
          <w:rFonts w:hint="eastAsia"/>
        </w:rPr>
        <w:t>台，总容量达到</w:t>
      </w:r>
      <w:r>
        <w:rPr>
          <w:rFonts w:hint="eastAsia"/>
        </w:rPr>
        <w:t>70.02</w:t>
      </w:r>
      <w:r>
        <w:rPr>
          <w:rFonts w:hint="eastAsia"/>
        </w:rPr>
        <w:t>万千瓦。与</w:t>
      </w:r>
      <w:r>
        <w:rPr>
          <w:rFonts w:hint="eastAsia"/>
        </w:rPr>
        <w:t>2011</w:t>
      </w:r>
      <w:r>
        <w:rPr>
          <w:rFonts w:hint="eastAsia"/>
        </w:rPr>
        <w:t>年相比，</w:t>
      </w:r>
      <w:r>
        <w:rPr>
          <w:rFonts w:hint="eastAsia"/>
        </w:rPr>
        <w:t>2012</w:t>
      </w:r>
      <w:r>
        <w:rPr>
          <w:rFonts w:hint="eastAsia"/>
        </w:rPr>
        <w:t>年我国风电机组制造商在“走出去”方面取得明显突破。我国共有</w:t>
      </w:r>
      <w:r>
        <w:rPr>
          <w:rFonts w:hint="eastAsia"/>
        </w:rPr>
        <w:t>7</w:t>
      </w:r>
      <w:r>
        <w:rPr>
          <w:rFonts w:hint="eastAsia"/>
        </w:rPr>
        <w:t>家风电机组制造商向国外出口风电机组，已发运的数量达到</w:t>
      </w:r>
      <w:r>
        <w:rPr>
          <w:rFonts w:hint="eastAsia"/>
        </w:rPr>
        <w:t>225</w:t>
      </w:r>
      <w:r>
        <w:rPr>
          <w:rFonts w:hint="eastAsia"/>
        </w:rPr>
        <w:t>台，容量为</w:t>
      </w:r>
      <w:r>
        <w:rPr>
          <w:rFonts w:hint="eastAsia"/>
        </w:rPr>
        <w:t>43</w:t>
      </w:r>
      <w:r>
        <w:t>.</w:t>
      </w:r>
      <w:r>
        <w:rPr>
          <w:rFonts w:hint="eastAsia"/>
        </w:rPr>
        <w:t>05</w:t>
      </w:r>
      <w:r>
        <w:rPr>
          <w:rFonts w:hint="eastAsia"/>
        </w:rPr>
        <w:t>万千瓦。其中，我国向美国出口的风电机组容量已达到</w:t>
      </w:r>
      <w:r>
        <w:rPr>
          <w:rFonts w:hint="eastAsia"/>
        </w:rPr>
        <w:t>32</w:t>
      </w:r>
      <w:r>
        <w:t>.</w:t>
      </w:r>
      <w:r>
        <w:rPr>
          <w:rFonts w:hint="eastAsia"/>
        </w:rPr>
        <w:t>7</w:t>
      </w:r>
      <w:r>
        <w:t>6</w:t>
      </w:r>
      <w:r>
        <w:rPr>
          <w:rFonts w:hint="eastAsia"/>
        </w:rPr>
        <w:t>万千瓦，占出口总量的</w:t>
      </w:r>
      <w:r>
        <w:rPr>
          <w:rFonts w:hint="eastAsia"/>
        </w:rPr>
        <w:t>46.8%</w:t>
      </w:r>
      <w:r>
        <w:rPr>
          <w:rFonts w:hint="eastAsia"/>
        </w:rPr>
        <w:t>。风电机组制造商中，以金风和华锐的出口数量最多，容量分别达到</w:t>
      </w:r>
      <w:r>
        <w:rPr>
          <w:rFonts w:hint="eastAsia"/>
        </w:rPr>
        <w:t>26</w:t>
      </w:r>
      <w:r>
        <w:t>.</w:t>
      </w:r>
      <w:r>
        <w:rPr>
          <w:rFonts w:hint="eastAsia"/>
        </w:rPr>
        <w:t>8</w:t>
      </w:r>
      <w:r>
        <w:t>8</w:t>
      </w:r>
      <w:r>
        <w:rPr>
          <w:rFonts w:hint="eastAsia"/>
        </w:rPr>
        <w:t>万千瓦和</w:t>
      </w:r>
      <w:r>
        <w:rPr>
          <w:rFonts w:hint="eastAsia"/>
        </w:rPr>
        <w:t>20</w:t>
      </w:r>
      <w:r>
        <w:t>.</w:t>
      </w:r>
      <w:r>
        <w:rPr>
          <w:rFonts w:hint="eastAsia"/>
        </w:rPr>
        <w:t>4</w:t>
      </w:r>
      <w:r>
        <w:rPr>
          <w:rFonts w:hint="eastAsia"/>
        </w:rPr>
        <w:t>万千瓦，占出口总量的</w:t>
      </w:r>
      <w:r>
        <w:rPr>
          <w:rFonts w:hint="eastAsia"/>
        </w:rPr>
        <w:t>38.38%</w:t>
      </w:r>
      <w:r>
        <w:rPr>
          <w:rFonts w:hint="eastAsia"/>
        </w:rPr>
        <w:t>和</w:t>
      </w:r>
      <w:r>
        <w:rPr>
          <w:rFonts w:hint="eastAsia"/>
        </w:rPr>
        <w:t>29.14%</w:t>
      </w:r>
      <w:r>
        <w:rPr>
          <w:rFonts w:hint="eastAsia"/>
        </w:rPr>
        <w:t>。</w:t>
      </w:r>
    </w:p>
    <w:p w:rsidR="00CA619C" w:rsidRDefault="00CA619C" w:rsidP="00CA619C">
      <w:pPr>
        <w:ind w:firstLine="519"/>
        <w:rPr>
          <w:rFonts w:hint="eastAsia"/>
        </w:rPr>
      </w:pPr>
      <w:r>
        <w:rPr>
          <w:rFonts w:hint="eastAsia"/>
          <w:b/>
          <w:bCs/>
        </w:rPr>
        <w:t>“三北”地区仍是我国风电发展的主要地区。</w:t>
      </w:r>
      <w:r>
        <w:rPr>
          <w:rFonts w:hint="eastAsia"/>
        </w:rPr>
        <w:t>我国“三北”地区风能资源非常丰富，多数地区风功率密度等级达到</w:t>
      </w:r>
      <w:r>
        <w:rPr>
          <w:rFonts w:hint="eastAsia"/>
        </w:rPr>
        <w:t>3</w:t>
      </w:r>
      <w:r>
        <w:rPr>
          <w:rFonts w:hint="eastAsia"/>
        </w:rPr>
        <w:t>级及以上，个别地区风功率密度等级接近或超过</w:t>
      </w:r>
      <w:r>
        <w:rPr>
          <w:rFonts w:hint="eastAsia"/>
        </w:rPr>
        <w:t>5</w:t>
      </w:r>
      <w:r>
        <w:rPr>
          <w:rFonts w:hint="eastAsia"/>
        </w:rPr>
        <w:t>级。在风电标杆电价政策出台后，这些地区风电开发具有较大优势</w:t>
      </w:r>
      <w:r>
        <w:rPr>
          <w:rFonts w:hint="eastAsia"/>
        </w:rPr>
        <w:t>(</w:t>
      </w:r>
      <w:r>
        <w:rPr>
          <w:rFonts w:hint="eastAsia"/>
        </w:rPr>
        <w:t>不考虑限电因素</w:t>
      </w:r>
      <w:r>
        <w:rPr>
          <w:rFonts w:hint="eastAsia"/>
        </w:rPr>
        <w:t>)</w:t>
      </w:r>
      <w:r>
        <w:rPr>
          <w:rFonts w:hint="eastAsia"/>
        </w:rPr>
        <w:t>。因此，长期以来，“三北”地区都是我国风电发展的主要地区。</w:t>
      </w:r>
      <w:r>
        <w:rPr>
          <w:rFonts w:hint="eastAsia"/>
        </w:rPr>
        <w:t>2012</w:t>
      </w:r>
      <w:r>
        <w:rPr>
          <w:rFonts w:hint="eastAsia"/>
        </w:rPr>
        <w:t>年，全国共有</w:t>
      </w:r>
      <w:r>
        <w:rPr>
          <w:rFonts w:hint="eastAsia"/>
        </w:rPr>
        <w:t>14</w:t>
      </w:r>
      <w:r>
        <w:rPr>
          <w:rFonts w:hint="eastAsia"/>
        </w:rPr>
        <w:t>个省</w:t>
      </w:r>
      <w:r>
        <w:rPr>
          <w:rFonts w:hint="eastAsia"/>
        </w:rPr>
        <w:t>(</w:t>
      </w:r>
      <w:r>
        <w:rPr>
          <w:rFonts w:hint="eastAsia"/>
        </w:rPr>
        <w:t>区</w:t>
      </w:r>
      <w:r>
        <w:rPr>
          <w:rFonts w:hint="eastAsia"/>
        </w:rPr>
        <w:t>)</w:t>
      </w:r>
      <w:r>
        <w:rPr>
          <w:rFonts w:hint="eastAsia"/>
        </w:rPr>
        <w:t>风电累计并网容量超过百万千瓦，其中内蒙古并网容量</w:t>
      </w:r>
      <w:r>
        <w:rPr>
          <w:rFonts w:hint="eastAsia"/>
        </w:rPr>
        <w:t>1670</w:t>
      </w:r>
      <w:r>
        <w:rPr>
          <w:rFonts w:hint="eastAsia"/>
        </w:rPr>
        <w:t>万千瓦，居全国之首，河北和甘肃分别以并网</w:t>
      </w:r>
      <w:r>
        <w:rPr>
          <w:rFonts w:hint="eastAsia"/>
        </w:rPr>
        <w:t>707</w:t>
      </w:r>
      <w:r>
        <w:rPr>
          <w:rFonts w:hint="eastAsia"/>
        </w:rPr>
        <w:t>万千瓦和</w:t>
      </w:r>
      <w:r>
        <w:rPr>
          <w:rFonts w:hint="eastAsia"/>
        </w:rPr>
        <w:t>634</w:t>
      </w:r>
      <w:r>
        <w:rPr>
          <w:rFonts w:hint="eastAsia"/>
        </w:rPr>
        <w:t>万千瓦位居第二、三位。华北、东北、西北地区风电并网容量约占全国风电并网容量的</w:t>
      </w:r>
      <w:r>
        <w:rPr>
          <w:rFonts w:hint="eastAsia"/>
        </w:rPr>
        <w:t>86%</w:t>
      </w:r>
      <w:r>
        <w:rPr>
          <w:rFonts w:hint="eastAsia"/>
        </w:rPr>
        <w:t>，较</w:t>
      </w:r>
      <w:r>
        <w:rPr>
          <w:rFonts w:hint="eastAsia"/>
        </w:rPr>
        <w:t>2011</w:t>
      </w:r>
      <w:r>
        <w:rPr>
          <w:rFonts w:hint="eastAsia"/>
        </w:rPr>
        <w:t>年略有降低。受到电力消纳困难的影响，“三北”地区分散开发的风电项目有所减少，新核准的项目以大型基地为主。以基地形式整体开发的项目，可以在国家层面协调解决接入电力系统和电力消纳问题，项目风险降低。</w:t>
      </w:r>
      <w:r>
        <w:rPr>
          <w:rFonts w:hint="eastAsia"/>
        </w:rPr>
        <w:t>2012</w:t>
      </w:r>
      <w:r>
        <w:rPr>
          <w:rFonts w:hint="eastAsia"/>
        </w:rPr>
        <w:t>年，新增核准容量位于前三位的省份及容量分别是甘肃</w:t>
      </w:r>
      <w:r>
        <w:rPr>
          <w:rFonts w:hint="eastAsia"/>
        </w:rPr>
        <w:t>339.45</w:t>
      </w:r>
      <w:r>
        <w:rPr>
          <w:rFonts w:hint="eastAsia"/>
        </w:rPr>
        <w:t>万千瓦，内蒙古</w:t>
      </w:r>
      <w:r>
        <w:rPr>
          <w:rFonts w:hint="eastAsia"/>
        </w:rPr>
        <w:t>305.22</w:t>
      </w:r>
      <w:r>
        <w:rPr>
          <w:rFonts w:hint="eastAsia"/>
        </w:rPr>
        <w:t>万千瓦，新疆</w:t>
      </w:r>
      <w:r>
        <w:rPr>
          <w:rFonts w:hint="eastAsia"/>
        </w:rPr>
        <w:t>241.26</w:t>
      </w:r>
      <w:r>
        <w:rPr>
          <w:rFonts w:hint="eastAsia"/>
        </w:rPr>
        <w:t>万千瓦。</w:t>
      </w:r>
    </w:p>
    <w:p w:rsidR="00CA619C" w:rsidRDefault="00CA619C" w:rsidP="00CA619C">
      <w:pPr>
        <w:ind w:firstLine="519"/>
        <w:rPr>
          <w:rFonts w:hint="eastAsia"/>
        </w:rPr>
      </w:pPr>
      <w:r>
        <w:rPr>
          <w:rFonts w:hint="eastAsia"/>
          <w:b/>
          <w:bCs/>
        </w:rPr>
        <w:t>2012</w:t>
      </w:r>
      <w:r>
        <w:rPr>
          <w:rFonts w:hint="eastAsia"/>
          <w:b/>
          <w:bCs/>
        </w:rPr>
        <w:t>年，内陆地区风电开发依然保持强劲的发展势头。</w:t>
      </w:r>
      <w:r>
        <w:rPr>
          <w:rFonts w:hint="eastAsia"/>
        </w:rPr>
        <w:t>其中，云南的成绩最为显著，</w:t>
      </w:r>
      <w:r>
        <w:rPr>
          <w:rFonts w:hint="eastAsia"/>
        </w:rPr>
        <w:t>2011</w:t>
      </w:r>
      <w:r>
        <w:rPr>
          <w:rFonts w:hint="eastAsia"/>
        </w:rPr>
        <w:t>年，云南省新增并网容量</w:t>
      </w:r>
      <w:r>
        <w:rPr>
          <w:rFonts w:hint="eastAsia"/>
        </w:rPr>
        <w:t>34.43</w:t>
      </w:r>
      <w:r>
        <w:rPr>
          <w:rFonts w:hint="eastAsia"/>
        </w:rPr>
        <w:t>万千瓦，位列全国第十一位，</w:t>
      </w:r>
      <w:r>
        <w:rPr>
          <w:rFonts w:hint="eastAsia"/>
        </w:rPr>
        <w:t>2012</w:t>
      </w:r>
      <w:r>
        <w:rPr>
          <w:rFonts w:hint="eastAsia"/>
        </w:rPr>
        <w:t>年，云南省新增并网容量</w:t>
      </w:r>
      <w:r>
        <w:rPr>
          <w:rFonts w:hint="eastAsia"/>
        </w:rPr>
        <w:t>90.22</w:t>
      </w:r>
      <w:r>
        <w:rPr>
          <w:rFonts w:hint="eastAsia"/>
        </w:rPr>
        <w:t>万千瓦，位列全国第七</w:t>
      </w:r>
      <w:r>
        <w:rPr>
          <w:rFonts w:hint="eastAsia"/>
        </w:rPr>
        <w:t>;</w:t>
      </w:r>
      <w:r>
        <w:rPr>
          <w:rFonts w:hint="eastAsia"/>
        </w:rPr>
        <w:t>另一个进展较快的省份是贵州，</w:t>
      </w:r>
      <w:r>
        <w:rPr>
          <w:rFonts w:hint="eastAsia"/>
        </w:rPr>
        <w:t>2011</w:t>
      </w:r>
      <w:r>
        <w:rPr>
          <w:rFonts w:hint="eastAsia"/>
        </w:rPr>
        <w:t>年，贵州省新增并网容量</w:t>
      </w:r>
      <w:r>
        <w:rPr>
          <w:rFonts w:hint="eastAsia"/>
        </w:rPr>
        <w:t>6.09</w:t>
      </w:r>
      <w:r>
        <w:rPr>
          <w:rFonts w:hint="eastAsia"/>
        </w:rPr>
        <w:t>万千瓦，位列全国第二十一位，</w:t>
      </w:r>
      <w:r>
        <w:rPr>
          <w:rFonts w:hint="eastAsia"/>
        </w:rPr>
        <w:t>2012</w:t>
      </w:r>
      <w:r>
        <w:rPr>
          <w:rFonts w:hint="eastAsia"/>
        </w:rPr>
        <w:t>年，贵州省新增并网容量</w:t>
      </w:r>
      <w:r>
        <w:rPr>
          <w:rFonts w:hint="eastAsia"/>
        </w:rPr>
        <w:t>45.82</w:t>
      </w:r>
      <w:r>
        <w:rPr>
          <w:rFonts w:hint="eastAsia"/>
        </w:rPr>
        <w:t>万千瓦，位列全国第十一位。数据显示，我国风电建设的重点已经逐步转向中、东部及内陆地区，风电项目布局得到了进一步优化。</w:t>
      </w:r>
      <w:r>
        <w:rPr>
          <w:rFonts w:hint="eastAsia"/>
        </w:rPr>
        <w:t>2011</w:t>
      </w:r>
      <w:r>
        <w:rPr>
          <w:rFonts w:hint="eastAsia"/>
        </w:rPr>
        <w:t>年，国家能源主管部门提出了集中式开发和分散式开发并重的发展思路，并出台了相应的管理办法。</w:t>
      </w:r>
      <w:r>
        <w:rPr>
          <w:rFonts w:hint="eastAsia"/>
        </w:rPr>
        <w:t>2012</w:t>
      </w:r>
      <w:r>
        <w:rPr>
          <w:rFonts w:hint="eastAsia"/>
        </w:rPr>
        <w:t>年，山西、内蒙古、浙江、湖南、陕西、新疆等省</w:t>
      </w:r>
      <w:r>
        <w:rPr>
          <w:rFonts w:hint="eastAsia"/>
        </w:rPr>
        <w:t>(</w:t>
      </w:r>
      <w:r>
        <w:rPr>
          <w:rFonts w:hint="eastAsia"/>
        </w:rPr>
        <w:t>区</w:t>
      </w:r>
      <w:r>
        <w:rPr>
          <w:rFonts w:hint="eastAsia"/>
        </w:rPr>
        <w:t>)</w:t>
      </w:r>
      <w:r>
        <w:rPr>
          <w:rFonts w:hint="eastAsia"/>
        </w:rPr>
        <w:t>开展了分散式风电试点尝试，可以预见，内陆地区分散式开发的风电场将占有越来越大的比重。</w:t>
      </w:r>
    </w:p>
    <w:p w:rsidR="00CA619C" w:rsidRDefault="00CA619C" w:rsidP="00CA619C">
      <w:pPr>
        <w:ind w:firstLine="519"/>
        <w:rPr>
          <w:rFonts w:hint="eastAsia"/>
        </w:rPr>
      </w:pPr>
      <w:r>
        <w:rPr>
          <w:rFonts w:hint="eastAsia"/>
          <w:b/>
          <w:bCs/>
        </w:rPr>
        <w:t>国有企业是我国风电开发的主力军。</w:t>
      </w:r>
      <w:r>
        <w:rPr>
          <w:rFonts w:hint="eastAsia"/>
        </w:rPr>
        <w:t>近年来，随着国家新能源政策的持续支持以及市场逐步扩大，开发企业积极性明显提高，国有企业、民营企业、外商投资企业纷纷加入到风电开发的队伍中来。其中，国有企业包括国电、大唐、华能、华电和中电投等五大发电集团，国华、中广核、中海油等中央所属能源企业，京能、河北建投、宁夏发电集团、鲁能和奥电等省级所属能源企业；民营企业包括中国风电、天润投资等，外商投资企业则主要是一些依托国内发电企业组建的中外合资企业。目前，国有企业，特别是五大发电集团，仍然是我国风电开发的主力军。到</w:t>
      </w:r>
      <w:r>
        <w:rPr>
          <w:rFonts w:hint="eastAsia"/>
        </w:rPr>
        <w:t>2012</w:t>
      </w:r>
      <w:r>
        <w:rPr>
          <w:rFonts w:hint="eastAsia"/>
        </w:rPr>
        <w:t>年底，全国共有约</w:t>
      </w:r>
      <w:r>
        <w:rPr>
          <w:rFonts w:hint="eastAsia"/>
        </w:rPr>
        <w:t>1000</w:t>
      </w:r>
      <w:r>
        <w:rPr>
          <w:rFonts w:hint="eastAsia"/>
        </w:rPr>
        <w:t>家国有企业参与了风电投资建设，累计并网容量</w:t>
      </w:r>
      <w:r>
        <w:rPr>
          <w:rFonts w:hint="eastAsia"/>
        </w:rPr>
        <w:t>5077</w:t>
      </w:r>
      <w:r>
        <w:rPr>
          <w:rFonts w:hint="eastAsia"/>
        </w:rPr>
        <w:t>千瓦，占全国总并网容量的</w:t>
      </w:r>
      <w:r>
        <w:rPr>
          <w:rFonts w:hint="eastAsia"/>
        </w:rPr>
        <w:t>81%</w:t>
      </w:r>
      <w:r>
        <w:rPr>
          <w:rFonts w:hint="eastAsia"/>
        </w:rPr>
        <w:t>。其中，华能、大唐、华电、国电、和中电投五大发电集团新核准开发建设的项目容量为</w:t>
      </w:r>
      <w:r>
        <w:rPr>
          <w:rFonts w:hint="eastAsia"/>
        </w:rPr>
        <w:t>1310</w:t>
      </w:r>
      <w:r>
        <w:rPr>
          <w:rFonts w:hint="eastAsia"/>
        </w:rPr>
        <w:t>万千瓦，占全国当年新核准容量的</w:t>
      </w:r>
      <w:r>
        <w:rPr>
          <w:rFonts w:hint="eastAsia"/>
        </w:rPr>
        <w:t>53%</w:t>
      </w:r>
      <w:r>
        <w:rPr>
          <w:rFonts w:hint="eastAsia"/>
        </w:rPr>
        <w:t>，其中国电集团核准项目为</w:t>
      </w:r>
      <w:r>
        <w:rPr>
          <w:rFonts w:hint="eastAsia"/>
        </w:rPr>
        <w:t>433</w:t>
      </w:r>
      <w:r>
        <w:rPr>
          <w:rFonts w:hint="eastAsia"/>
        </w:rPr>
        <w:t>万千瓦，依然是全国当年核准项目最多的发电企业，占全国份额的</w:t>
      </w:r>
      <w:r>
        <w:rPr>
          <w:rFonts w:hint="eastAsia"/>
        </w:rPr>
        <w:t>17%</w:t>
      </w:r>
      <w:r>
        <w:rPr>
          <w:rFonts w:hint="eastAsia"/>
        </w:rPr>
        <w:t>，大唐集团和华能集团位列二、三位，分别占全国新核准容量的</w:t>
      </w:r>
      <w:r>
        <w:rPr>
          <w:rFonts w:hint="eastAsia"/>
        </w:rPr>
        <w:t>12%</w:t>
      </w:r>
      <w:r>
        <w:rPr>
          <w:rFonts w:hint="eastAsia"/>
        </w:rPr>
        <w:t>和</w:t>
      </w:r>
      <w:r>
        <w:rPr>
          <w:rFonts w:hint="eastAsia"/>
        </w:rPr>
        <w:t>10%</w:t>
      </w:r>
      <w:r>
        <w:rPr>
          <w:rFonts w:hint="eastAsia"/>
        </w:rPr>
        <w:t>。大型国有企业风电投资业务保持稳定发展状态。五大发电集团累计并网容量为</w:t>
      </w:r>
      <w:r>
        <w:rPr>
          <w:rFonts w:hint="eastAsia"/>
        </w:rPr>
        <w:t>3579</w:t>
      </w:r>
      <w:r>
        <w:rPr>
          <w:rFonts w:hint="eastAsia"/>
        </w:rPr>
        <w:t>万千瓦，占全国总并网容量的</w:t>
      </w:r>
      <w:r>
        <w:rPr>
          <w:rFonts w:hint="eastAsia"/>
        </w:rPr>
        <w:t>57%</w:t>
      </w:r>
      <w:r>
        <w:rPr>
          <w:rFonts w:hint="eastAsia"/>
        </w:rPr>
        <w:t>。国电集团以累计并网容量</w:t>
      </w:r>
      <w:r>
        <w:rPr>
          <w:rFonts w:hint="eastAsia"/>
        </w:rPr>
        <w:t>1300</w:t>
      </w:r>
      <w:r>
        <w:rPr>
          <w:rFonts w:hint="eastAsia"/>
        </w:rPr>
        <w:t>万千瓦位列国内风电装机第一名，华能集团和大唐集团分别以</w:t>
      </w:r>
      <w:r>
        <w:rPr>
          <w:rFonts w:hint="eastAsia"/>
        </w:rPr>
        <w:t>834</w:t>
      </w:r>
      <w:r>
        <w:rPr>
          <w:rFonts w:hint="eastAsia"/>
        </w:rPr>
        <w:t>万千瓦和</w:t>
      </w:r>
      <w:r>
        <w:rPr>
          <w:rFonts w:hint="eastAsia"/>
        </w:rPr>
        <w:t>771</w:t>
      </w:r>
      <w:r>
        <w:rPr>
          <w:rFonts w:hint="eastAsia"/>
        </w:rPr>
        <w:t>万千瓦列第二和第三位，前三位的企业排名与</w:t>
      </w:r>
      <w:r>
        <w:rPr>
          <w:rFonts w:hint="eastAsia"/>
        </w:rPr>
        <w:t>2011</w:t>
      </w:r>
      <w:r>
        <w:rPr>
          <w:rFonts w:hint="eastAsia"/>
        </w:rPr>
        <w:t>年相同。到</w:t>
      </w:r>
      <w:r>
        <w:rPr>
          <w:rFonts w:hint="eastAsia"/>
        </w:rPr>
        <w:t>2012</w:t>
      </w:r>
      <w:r>
        <w:rPr>
          <w:rFonts w:hint="eastAsia"/>
        </w:rPr>
        <w:t>年底，民营企业累计并网容量</w:t>
      </w:r>
      <w:r>
        <w:rPr>
          <w:rFonts w:hint="eastAsia"/>
        </w:rPr>
        <w:t>283</w:t>
      </w:r>
      <w:r>
        <w:rPr>
          <w:rFonts w:hint="eastAsia"/>
        </w:rPr>
        <w:t>万千瓦，占全国总并网容量的</w:t>
      </w:r>
      <w:r>
        <w:rPr>
          <w:rFonts w:hint="eastAsia"/>
        </w:rPr>
        <w:t>4.5%</w:t>
      </w:r>
      <w:r>
        <w:rPr>
          <w:rFonts w:hint="eastAsia"/>
        </w:rPr>
        <w:t>。外资企业累计并网容量约</w:t>
      </w:r>
      <w:r>
        <w:rPr>
          <w:rFonts w:hint="eastAsia"/>
        </w:rPr>
        <w:t>73</w:t>
      </w:r>
      <w:r>
        <w:rPr>
          <w:rFonts w:hint="eastAsia"/>
        </w:rPr>
        <w:t>万，占全国总并网容量的</w:t>
      </w:r>
      <w:r>
        <w:rPr>
          <w:rFonts w:hint="eastAsia"/>
        </w:rPr>
        <w:t>1.2%</w:t>
      </w:r>
      <w:r>
        <w:rPr>
          <w:rFonts w:hint="eastAsia"/>
        </w:rPr>
        <w:t>，中外合资企业累计并网容量</w:t>
      </w:r>
      <w:r>
        <w:rPr>
          <w:rFonts w:hint="eastAsia"/>
        </w:rPr>
        <w:t>833</w:t>
      </w:r>
      <w:r>
        <w:rPr>
          <w:rFonts w:hint="eastAsia"/>
        </w:rPr>
        <w:t>万千瓦，占全国总并网容量的</w:t>
      </w:r>
      <w:r>
        <w:rPr>
          <w:rFonts w:hint="eastAsia"/>
        </w:rPr>
        <w:t>13.3%</w:t>
      </w:r>
      <w:r>
        <w:rPr>
          <w:rFonts w:hint="eastAsia"/>
        </w:rPr>
        <w:t>。</w:t>
      </w:r>
    </w:p>
    <w:p w:rsidR="00CA619C" w:rsidRDefault="00CA619C" w:rsidP="00CA619C">
      <w:pPr>
        <w:ind w:firstLine="519"/>
        <w:rPr>
          <w:rFonts w:hint="eastAsia"/>
        </w:rPr>
      </w:pPr>
      <w:r>
        <w:rPr>
          <w:rFonts w:hint="eastAsia"/>
          <w:b/>
          <w:bCs/>
        </w:rPr>
        <w:t>风电并网和消纳问题正逐步成为制约风电开发的重大挑战。</w:t>
      </w:r>
      <w:r>
        <w:rPr>
          <w:rFonts w:hint="eastAsia"/>
        </w:rPr>
        <w:t>中国风力资源主要分布在三北地区</w:t>
      </w:r>
      <w:r>
        <w:rPr>
          <w:rFonts w:hint="eastAsia"/>
        </w:rPr>
        <w:t>(</w:t>
      </w:r>
      <w:r>
        <w:rPr>
          <w:rFonts w:hint="eastAsia"/>
        </w:rPr>
        <w:t>东北、华北和西北</w:t>
      </w:r>
      <w:r>
        <w:rPr>
          <w:rFonts w:hint="eastAsia"/>
        </w:rPr>
        <w:t>)</w:t>
      </w:r>
      <w:r>
        <w:rPr>
          <w:rFonts w:hint="eastAsia"/>
        </w:rPr>
        <w:t>，但电力负载主要分布在沿海地区，总体上看，风力资源的地理分布与电力负载之间并不匹配。最近两三年来，由于风电开发高度集中三北地区、风电和电网建设不同步、当地负荷水平较低、灵活调节电源少、跨省跨区市场不成熟等原因，风电的并网瓶颈和市场消纳问题开始凸显，弃风现象比较突出。“三北”地区尽管风能资源丰富，是全国年上网电量最多的地区，但也是“弃风”最严重的地区。《</w:t>
      </w:r>
      <w:r>
        <w:rPr>
          <w:rFonts w:hint="eastAsia"/>
        </w:rPr>
        <w:t>2012</w:t>
      </w:r>
      <w:r>
        <w:rPr>
          <w:rFonts w:hint="eastAsia"/>
        </w:rPr>
        <w:t>年度中国风电建设统计评价报告》对</w:t>
      </w:r>
      <w:r>
        <w:rPr>
          <w:rFonts w:hint="eastAsia"/>
        </w:rPr>
        <w:t>2012</w:t>
      </w:r>
      <w:r>
        <w:rPr>
          <w:rFonts w:hint="eastAsia"/>
        </w:rPr>
        <w:t>年的“弃风”情况进行了统计和分析。根据各省上报风电场统计数据，</w:t>
      </w:r>
      <w:r>
        <w:rPr>
          <w:rFonts w:hint="eastAsia"/>
        </w:rPr>
        <w:t>2012</w:t>
      </w:r>
      <w:r>
        <w:rPr>
          <w:rFonts w:hint="eastAsia"/>
        </w:rPr>
        <w:t>年全国由于限电因素而产生的“弃风”损失电量</w:t>
      </w:r>
      <w:r>
        <w:rPr>
          <w:rFonts w:hint="eastAsia"/>
        </w:rPr>
        <w:t>208</w:t>
      </w:r>
      <w:r>
        <w:rPr>
          <w:rFonts w:hint="eastAsia"/>
        </w:rPr>
        <w:t>亿千瓦时，约占全国</w:t>
      </w:r>
      <w:r>
        <w:rPr>
          <w:rFonts w:hint="eastAsia"/>
        </w:rPr>
        <w:t>2012</w:t>
      </w:r>
      <w:r>
        <w:rPr>
          <w:rFonts w:hint="eastAsia"/>
        </w:rPr>
        <w:t>年上网电量的</w:t>
      </w:r>
      <w:r>
        <w:rPr>
          <w:rFonts w:hint="eastAsia"/>
        </w:rPr>
        <w:t>20%</w:t>
      </w:r>
      <w:r>
        <w:rPr>
          <w:rFonts w:hint="eastAsia"/>
        </w:rPr>
        <w:t>，全国</w:t>
      </w:r>
      <w:r>
        <w:rPr>
          <w:rFonts w:hint="eastAsia"/>
        </w:rPr>
        <w:t>2012</w:t>
      </w:r>
      <w:r>
        <w:rPr>
          <w:rFonts w:hint="eastAsia"/>
        </w:rPr>
        <w:t>年“弃风”率约为</w:t>
      </w:r>
      <w:r>
        <w:rPr>
          <w:rFonts w:hint="eastAsia"/>
        </w:rPr>
        <w:t>17%</w:t>
      </w:r>
      <w:r>
        <w:rPr>
          <w:rFonts w:hint="eastAsia"/>
        </w:rPr>
        <w:t>。“三北”地区尽管风能资源丰富，但受消纳能力影响，“弃风”现象仍然严重。初步估算，“三北”地区</w:t>
      </w:r>
      <w:r>
        <w:rPr>
          <w:rFonts w:hint="eastAsia"/>
        </w:rPr>
        <w:t>2012</w:t>
      </w:r>
      <w:r>
        <w:rPr>
          <w:rFonts w:hint="eastAsia"/>
        </w:rPr>
        <w:t>年平均弃风率约为</w:t>
      </w:r>
      <w:r>
        <w:rPr>
          <w:rFonts w:hint="eastAsia"/>
        </w:rPr>
        <w:t>13%</w:t>
      </w:r>
      <w:r>
        <w:rPr>
          <w:rFonts w:hint="eastAsia"/>
        </w:rPr>
        <w:t>。其中蒙东和吉林仍然是“弃风’最严重地区，“弃风”率超过</w:t>
      </w:r>
      <w:r>
        <w:rPr>
          <w:rFonts w:hint="eastAsia"/>
        </w:rPr>
        <w:t>30%;</w:t>
      </w:r>
      <w:r>
        <w:rPr>
          <w:rFonts w:hint="eastAsia"/>
        </w:rPr>
        <w:t>蒙西和甘肃“弃风”问题也较严重，“弃风”率超过</w:t>
      </w:r>
      <w:r>
        <w:rPr>
          <w:rFonts w:hint="eastAsia"/>
        </w:rPr>
        <w:t>20%</w:t>
      </w:r>
      <w:r>
        <w:rPr>
          <w:rFonts w:hint="eastAsia"/>
        </w:rPr>
        <w:t>；宁夏和山西省“弃风”现象较轻。</w:t>
      </w:r>
    </w:p>
    <w:p w:rsidR="00CA619C" w:rsidRDefault="00CA619C" w:rsidP="00CA619C">
      <w:pPr>
        <w:ind w:firstLine="480"/>
        <w:rPr>
          <w:rFonts w:hint="eastAsia"/>
        </w:rPr>
      </w:pPr>
      <w:r>
        <w:rPr>
          <w:rFonts w:hint="eastAsia"/>
        </w:rPr>
        <w:t>值得注意的是，在南方省份，云南省也因送出通道容量不足开始出现了“弃风”。</w:t>
      </w:r>
      <w:r>
        <w:rPr>
          <w:rFonts w:hint="eastAsia"/>
        </w:rPr>
        <w:t xml:space="preserve"> </w:t>
      </w:r>
      <w:r>
        <w:rPr>
          <w:rFonts w:hint="eastAsia"/>
        </w:rPr>
        <w:t>一般来讲，内陆地区人口密集，电力负荷大，风电场接网条件好，基本上不会限电。但是个别省份风能资源比较集中，在集中快速开发的状况下，电网配套工程及消纳能力有可能跟不上风电发展速度，就会出现“弃风”现象</w:t>
      </w:r>
      <w:r>
        <w:rPr>
          <w:rFonts w:hint="eastAsia"/>
        </w:rPr>
        <w:t>.</w:t>
      </w:r>
      <w:r>
        <w:rPr>
          <w:rFonts w:hint="eastAsia"/>
        </w:rPr>
        <w:t>除了云南以外，山西北部、贵州的毕节、河南的三门峡等地区，风电开发比较集中，应尽早做好消纳能力研究，合理安排开发规模与时序，避免大规模“弃风”的发生。</w:t>
      </w:r>
    </w:p>
    <w:p w:rsidR="00CA619C" w:rsidRDefault="00CA619C" w:rsidP="00CA619C">
      <w:pPr>
        <w:ind w:firstLine="519"/>
        <w:rPr>
          <w:rFonts w:hint="eastAsia"/>
        </w:rPr>
      </w:pPr>
      <w:r>
        <w:rPr>
          <w:rFonts w:hint="eastAsia"/>
          <w:b/>
          <w:bCs/>
        </w:rPr>
        <w:t>海上风电建设速度加快。</w:t>
      </w:r>
      <w:r>
        <w:rPr>
          <w:rFonts w:hint="eastAsia"/>
        </w:rPr>
        <w:t>中国有丰富的海上风能资源，并且我国东部沿海地区经济发达，能源需求大，电网结构强，风电接网条件好，我国发展海上风电具有得天独厚的优势。我国</w:t>
      </w:r>
      <w:r>
        <w:rPr>
          <w:rFonts w:hint="eastAsia"/>
        </w:rPr>
        <w:t>2009</w:t>
      </w:r>
      <w:r>
        <w:rPr>
          <w:rFonts w:hint="eastAsia"/>
        </w:rPr>
        <w:t>年</w:t>
      </w:r>
      <w:r>
        <w:rPr>
          <w:rFonts w:hint="eastAsia"/>
        </w:rPr>
        <w:t>1</w:t>
      </w:r>
      <w:r>
        <w:rPr>
          <w:rFonts w:hint="eastAsia"/>
        </w:rPr>
        <w:t>月了启动海上风电规划工作，截至</w:t>
      </w:r>
      <w:r>
        <w:rPr>
          <w:rFonts w:hint="eastAsia"/>
        </w:rPr>
        <w:t>2012</w:t>
      </w:r>
      <w:r>
        <w:rPr>
          <w:rFonts w:hint="eastAsia"/>
        </w:rPr>
        <w:t>年底，国家能源局已批复河北、山东、上海、广东和江苏的海上风电规划报告，辽宁</w:t>
      </w:r>
      <w:r>
        <w:rPr>
          <w:rFonts w:hint="eastAsia"/>
        </w:rPr>
        <w:t>(</w:t>
      </w:r>
      <w:r>
        <w:rPr>
          <w:rFonts w:hint="eastAsia"/>
        </w:rPr>
        <w:t>大连</w:t>
      </w:r>
      <w:r>
        <w:rPr>
          <w:rFonts w:hint="eastAsia"/>
        </w:rPr>
        <w:t>)</w:t>
      </w:r>
      <w:r>
        <w:rPr>
          <w:rFonts w:hint="eastAsia"/>
        </w:rPr>
        <w:t>规划已上报国家，浙江、福建、海南也基本完成了规划报告编制，广西规划报告正在编制中。到</w:t>
      </w:r>
      <w:r>
        <w:rPr>
          <w:rFonts w:hint="eastAsia"/>
        </w:rPr>
        <w:t>2012</w:t>
      </w:r>
      <w:r>
        <w:rPr>
          <w:rFonts w:hint="eastAsia"/>
        </w:rPr>
        <w:t>年底，全国共建成海上风电试验、示范项目</w:t>
      </w:r>
      <w:r>
        <w:rPr>
          <w:rFonts w:hint="eastAsia"/>
        </w:rPr>
        <w:t>5</w:t>
      </w:r>
      <w:r>
        <w:rPr>
          <w:rFonts w:hint="eastAsia"/>
        </w:rPr>
        <w:t>个，总装机容量达到</w:t>
      </w:r>
      <w:r>
        <w:rPr>
          <w:rFonts w:hint="eastAsia"/>
        </w:rPr>
        <w:t>39</w:t>
      </w:r>
      <w:r>
        <w:rPr>
          <w:rFonts w:hint="eastAsia"/>
        </w:rPr>
        <w:t>万千瓦。其中，商业运行的风电场主要包括上海东海大桥海上风电示范项目、江苏如东</w:t>
      </w:r>
      <w:r>
        <w:rPr>
          <w:rFonts w:hint="eastAsia"/>
        </w:rPr>
        <w:t>30MW</w:t>
      </w:r>
      <w:r>
        <w:rPr>
          <w:rFonts w:hint="eastAsia"/>
        </w:rPr>
        <w:t>潮间带试验风电场和江苏如东</w:t>
      </w:r>
      <w:r>
        <w:rPr>
          <w:rFonts w:hint="eastAsia"/>
        </w:rPr>
        <w:t>150MW</w:t>
      </w:r>
      <w:r>
        <w:rPr>
          <w:rFonts w:hint="eastAsia"/>
        </w:rPr>
        <w:t>潮间带示范风电场，另有江苏响水海上试验项目</w:t>
      </w:r>
      <w:r>
        <w:rPr>
          <w:rFonts w:hint="eastAsia"/>
        </w:rPr>
        <w:t>(12.5MW)</w:t>
      </w:r>
      <w:r>
        <w:rPr>
          <w:rFonts w:hint="eastAsia"/>
        </w:rPr>
        <w:t>、中水电如东海上风电场</w:t>
      </w:r>
      <w:r>
        <w:rPr>
          <w:rFonts w:hint="eastAsia"/>
        </w:rPr>
        <w:t>(</w:t>
      </w:r>
      <w:r>
        <w:rPr>
          <w:rFonts w:hint="eastAsia"/>
        </w:rPr>
        <w:t>潮间带</w:t>
      </w:r>
      <w:r>
        <w:rPr>
          <w:rFonts w:hint="eastAsia"/>
        </w:rPr>
        <w:t>) 100MW</w:t>
      </w:r>
      <w:r>
        <w:rPr>
          <w:rFonts w:hint="eastAsia"/>
        </w:rPr>
        <w:t>示范项目处于在建阶段。获得国家能源局同意开展前期工作批复的项目</w:t>
      </w:r>
      <w:r>
        <w:rPr>
          <w:rFonts w:hint="eastAsia"/>
        </w:rPr>
        <w:t>17</w:t>
      </w:r>
      <w:r>
        <w:rPr>
          <w:rFonts w:hint="eastAsia"/>
        </w:rPr>
        <w:t>个，总装机容量为</w:t>
      </w:r>
      <w:r>
        <w:rPr>
          <w:rFonts w:hint="eastAsia"/>
        </w:rPr>
        <w:t>395</w:t>
      </w:r>
      <w:r>
        <w:rPr>
          <w:rFonts w:hint="eastAsia"/>
        </w:rPr>
        <w:t>万千瓦。</w:t>
      </w:r>
      <w:r>
        <w:rPr>
          <w:rFonts w:hint="eastAsia"/>
        </w:rPr>
        <w:t>2010</w:t>
      </w:r>
      <w:r>
        <w:rPr>
          <w:rFonts w:hint="eastAsia"/>
        </w:rPr>
        <w:t>年招标确定的江苏滨海、射阳、东台、大丰等市</w:t>
      </w:r>
      <w:r>
        <w:rPr>
          <w:rFonts w:hint="eastAsia"/>
        </w:rPr>
        <w:t>(</w:t>
      </w:r>
      <w:r>
        <w:rPr>
          <w:rFonts w:hint="eastAsia"/>
        </w:rPr>
        <w:t>县</w:t>
      </w:r>
      <w:r>
        <w:rPr>
          <w:rFonts w:hint="eastAsia"/>
        </w:rPr>
        <w:t>)</w:t>
      </w:r>
      <w:r>
        <w:rPr>
          <w:rFonts w:hint="eastAsia"/>
        </w:rPr>
        <w:t>近海和潮间带区域的</w:t>
      </w:r>
      <w:r>
        <w:rPr>
          <w:rFonts w:hint="eastAsia"/>
        </w:rPr>
        <w:t>4</w:t>
      </w:r>
      <w:r>
        <w:rPr>
          <w:rFonts w:hint="eastAsia"/>
        </w:rPr>
        <w:t>个海上风电特许权项目</w:t>
      </w:r>
      <w:r>
        <w:rPr>
          <w:rFonts w:hint="eastAsia"/>
        </w:rPr>
        <w:t>(100</w:t>
      </w:r>
      <w:r>
        <w:rPr>
          <w:rFonts w:hint="eastAsia"/>
        </w:rPr>
        <w:t>万千瓦</w:t>
      </w:r>
      <w:r>
        <w:rPr>
          <w:rFonts w:hint="eastAsia"/>
        </w:rPr>
        <w:t>)</w:t>
      </w:r>
      <w:r>
        <w:rPr>
          <w:rFonts w:hint="eastAsia"/>
        </w:rPr>
        <w:t>均完成了可行性研究报告，海域使用、环评以及海缆路由等专题也基本完成论证。</w:t>
      </w:r>
    </w:p>
    <w:p w:rsidR="00CA619C" w:rsidRDefault="00CA619C" w:rsidP="00CA619C">
      <w:pPr>
        <w:ind w:firstLine="480"/>
        <w:rPr>
          <w:rFonts w:hint="eastAsia"/>
        </w:rPr>
      </w:pPr>
      <w:r>
        <w:rPr>
          <w:rFonts w:hint="eastAsia"/>
        </w:rPr>
        <w:t>中国风电在经历了连续数年高速增长后，开始面临瓶颈，发展速度放缓。但是“十二五”期间，我国风电产业将迎来结构调整的重要机遇。根据《可再生能源“十二五”规划》，到</w:t>
      </w:r>
      <w:r>
        <w:rPr>
          <w:rFonts w:hint="eastAsia"/>
        </w:rPr>
        <w:t>2015</w:t>
      </w:r>
      <w:r>
        <w:rPr>
          <w:rFonts w:hint="eastAsia"/>
        </w:rPr>
        <w:t>年，我国将建成并网风电</w:t>
      </w:r>
      <w:r>
        <w:rPr>
          <w:rFonts w:hint="eastAsia"/>
        </w:rPr>
        <w:t>100GW</w:t>
      </w:r>
      <w:r>
        <w:rPr>
          <w:rFonts w:hint="eastAsia"/>
        </w:rPr>
        <w:t>，年发电量达到</w:t>
      </w:r>
      <w:r>
        <w:rPr>
          <w:rFonts w:hint="eastAsia"/>
        </w:rPr>
        <w:t>1900</w:t>
      </w:r>
      <w:r>
        <w:rPr>
          <w:rFonts w:hint="eastAsia"/>
        </w:rPr>
        <w:t>亿千瓦时，风电发电量在全部发电量中的比重超过</w:t>
      </w:r>
      <w:r>
        <w:rPr>
          <w:rFonts w:hint="eastAsia"/>
        </w:rPr>
        <w:t>3%</w:t>
      </w:r>
      <w:r>
        <w:rPr>
          <w:rFonts w:hint="eastAsia"/>
        </w:rPr>
        <w:t>；到</w:t>
      </w:r>
      <w:r>
        <w:rPr>
          <w:rFonts w:hint="eastAsia"/>
        </w:rPr>
        <w:t>2020</w:t>
      </w:r>
      <w:r>
        <w:rPr>
          <w:rFonts w:hint="eastAsia"/>
        </w:rPr>
        <w:t>年，风电总装机容量超过</w:t>
      </w:r>
      <w:r>
        <w:rPr>
          <w:rFonts w:hint="eastAsia"/>
        </w:rPr>
        <w:t>2</w:t>
      </w:r>
      <w:r>
        <w:rPr>
          <w:rFonts w:hint="eastAsia"/>
        </w:rPr>
        <w:t>亿千瓦，其中海上风电装机容量达到</w:t>
      </w:r>
      <w:r>
        <w:rPr>
          <w:rFonts w:hint="eastAsia"/>
        </w:rPr>
        <w:t>3000</w:t>
      </w:r>
      <w:r>
        <w:rPr>
          <w:rFonts w:hint="eastAsia"/>
        </w:rPr>
        <w:t>万千瓦，风电年发电量达到</w:t>
      </w:r>
      <w:r>
        <w:rPr>
          <w:rFonts w:hint="eastAsia"/>
        </w:rPr>
        <w:t>3900</w:t>
      </w:r>
      <w:r>
        <w:rPr>
          <w:rFonts w:hint="eastAsia"/>
        </w:rPr>
        <w:t>亿千瓦时，力争风电发电量在全国发电量中的比重超过</w:t>
      </w:r>
      <w:r>
        <w:rPr>
          <w:rFonts w:hint="eastAsia"/>
        </w:rPr>
        <w:t>5%</w:t>
      </w:r>
      <w:r>
        <w:rPr>
          <w:rFonts w:hint="eastAsia"/>
        </w:rPr>
        <w:t>。“十二五”及</w:t>
      </w:r>
      <w:r>
        <w:rPr>
          <w:rFonts w:hint="eastAsia"/>
        </w:rPr>
        <w:t>2020</w:t>
      </w:r>
      <w:r>
        <w:rPr>
          <w:rFonts w:hint="eastAsia"/>
        </w:rPr>
        <w:t>年前重点规划建设上海的东海大桥、南汇、奉贤，江苏的南通、盐城南北部、连云港，山东的莱州湾、渤中、长岛、半岛北海和半岛南海，河北的唐山、沧州，广东的粤东、粤西、珠三角，浙江的杭州湾、舟山东部、象山、台州、温州，辽宁的瓦房店、花园口、庄河等海域的海上风电项目。</w:t>
      </w:r>
    </w:p>
    <w:p w:rsidR="00CA619C" w:rsidRDefault="00CA619C" w:rsidP="00CA619C">
      <w:pPr>
        <w:pStyle w:val="Heading4"/>
        <w:tabs>
          <w:tab w:val="left" w:pos="864"/>
        </w:tabs>
        <w:rPr>
          <w:rFonts w:hint="eastAsia"/>
        </w:rPr>
      </w:pPr>
      <w:r>
        <w:rPr>
          <w:rFonts w:hint="eastAsia"/>
        </w:rPr>
        <w:t>中国风电技术水平</w:t>
      </w:r>
    </w:p>
    <w:p w:rsidR="00CA619C" w:rsidRDefault="00CA619C" w:rsidP="00CA619C">
      <w:pPr>
        <w:pStyle w:val="ListParagraph"/>
        <w:ind w:firstLineChars="0"/>
      </w:pPr>
      <w:r>
        <w:rPr>
          <w:rFonts w:hint="eastAsia"/>
        </w:rPr>
        <w:t>在我国可再生能源技术中，风电技术近些年进步明显，技术相对比较成熟、成本较低、发展也最为迅速，我国在发展初期以许可证生产、模仿为主，但经过十几年的发展，我国风电技术已经取得一定的成绩，已具备一定的自主创新能力。具体表现在：风电设备关键零部件的技术水平快速提高，风机成本明显降低；风机产能迅速提升，市场占有率逐步扩大，在不断开发适应国内风能资源特点的产品、满足国内市场需求的同时，我国风电设备已开始进入国际市场；依托国内主要科研机构和骨干企业，我国建立了一批风能领域国家重点实验室和国家工程技术研究中心；参考国际惯例和相关标准，初步建立了适应我国的风电标准、检测和认证体系，为风电发展提供了技术支撑和保障。</w:t>
      </w:r>
    </w:p>
    <w:p w:rsidR="00CA619C" w:rsidRDefault="00CA619C" w:rsidP="00CA619C">
      <w:pPr>
        <w:pStyle w:val="ListParagraph"/>
        <w:ind w:firstLineChars="0"/>
        <w:rPr>
          <w:rFonts w:hint="eastAsia"/>
        </w:rPr>
      </w:pPr>
      <w:r>
        <w:rPr>
          <w:rFonts w:hint="eastAsia"/>
          <w:b/>
          <w:bCs/>
        </w:rPr>
        <w:t>风电设备可靠性已明显提高。</w:t>
      </w:r>
      <w:r>
        <w:rPr>
          <w:rFonts w:hint="eastAsia"/>
        </w:rPr>
        <w:t>据国家风电技术与检测研究中心风电并网检测信息，截止到</w:t>
      </w:r>
      <w:r>
        <w:rPr>
          <w:rFonts w:hint="eastAsia"/>
        </w:rPr>
        <w:t>2013</w:t>
      </w:r>
      <w:r>
        <w:rPr>
          <w:rFonts w:hint="eastAsia"/>
        </w:rPr>
        <w:t>年</w:t>
      </w:r>
      <w:r>
        <w:rPr>
          <w:rFonts w:hint="eastAsia"/>
        </w:rPr>
        <w:t>6</w:t>
      </w:r>
      <w:r>
        <w:rPr>
          <w:rFonts w:hint="eastAsia"/>
        </w:rPr>
        <w:t>月</w:t>
      </w:r>
      <w:r>
        <w:rPr>
          <w:rFonts w:hint="eastAsia"/>
        </w:rPr>
        <w:t>30</w:t>
      </w:r>
      <w:r>
        <w:rPr>
          <w:rFonts w:hint="eastAsia"/>
        </w:rPr>
        <w:t>日，我国风力发电企业共完成</w:t>
      </w:r>
      <w:r>
        <w:rPr>
          <w:rFonts w:hint="eastAsia"/>
        </w:rPr>
        <w:t>219</w:t>
      </w:r>
      <w:r>
        <w:rPr>
          <w:rFonts w:hint="eastAsia"/>
        </w:rPr>
        <w:t>座风电场低电压穿越能力改造，占需改造风电场（共</w:t>
      </w:r>
      <w:r>
        <w:rPr>
          <w:rFonts w:hint="eastAsia"/>
        </w:rPr>
        <w:t>247</w:t>
      </w:r>
      <w:r>
        <w:rPr>
          <w:rFonts w:hint="eastAsia"/>
        </w:rPr>
        <w:t>座）的</w:t>
      </w:r>
      <w:r>
        <w:rPr>
          <w:rFonts w:hint="eastAsia"/>
        </w:rPr>
        <w:t>89%</w:t>
      </w:r>
      <w:r>
        <w:rPr>
          <w:rFonts w:hint="eastAsia"/>
        </w:rPr>
        <w:t>。已组织完成</w:t>
      </w:r>
      <w:r>
        <w:rPr>
          <w:rFonts w:hint="eastAsia"/>
        </w:rPr>
        <w:t>151</w:t>
      </w:r>
      <w:r>
        <w:rPr>
          <w:rFonts w:hint="eastAsia"/>
        </w:rPr>
        <w:t>个风电场的低电压穿越抽检，占已具备测试条件风电场的</w:t>
      </w:r>
      <w:r>
        <w:rPr>
          <w:rFonts w:hint="eastAsia"/>
        </w:rPr>
        <w:t>69%</w:t>
      </w:r>
      <w:r>
        <w:rPr>
          <w:rFonts w:hint="eastAsia"/>
        </w:rPr>
        <w:t>。结果显示，我国风机制造厂家整体水平提升明显，检测机型的国产化率明显提高。“风电并网难”在技术上的四大类典型问题，现已逐步得到解决。风机并网性能和风电运行质量不断提升，大规模风电脱网事故从</w:t>
      </w:r>
      <w:r>
        <w:rPr>
          <w:rFonts w:hint="eastAsia"/>
        </w:rPr>
        <w:t>2011</w:t>
      </w:r>
      <w:r>
        <w:rPr>
          <w:rFonts w:hint="eastAsia"/>
        </w:rPr>
        <w:t>年的</w:t>
      </w:r>
      <w:r>
        <w:rPr>
          <w:rFonts w:hint="eastAsia"/>
        </w:rPr>
        <w:t>8</w:t>
      </w:r>
      <w:r>
        <w:rPr>
          <w:rFonts w:hint="eastAsia"/>
        </w:rPr>
        <w:t>起降低到</w:t>
      </w:r>
      <w:r>
        <w:rPr>
          <w:rFonts w:hint="eastAsia"/>
        </w:rPr>
        <w:t>2012</w:t>
      </w:r>
      <w:r>
        <w:rPr>
          <w:rFonts w:hint="eastAsia"/>
        </w:rPr>
        <w:t>年的</w:t>
      </w:r>
      <w:r>
        <w:rPr>
          <w:rFonts w:hint="eastAsia"/>
        </w:rPr>
        <w:t>1</w:t>
      </w:r>
      <w:r>
        <w:rPr>
          <w:rFonts w:hint="eastAsia"/>
        </w:rPr>
        <w:t>起，</w:t>
      </w:r>
      <w:r>
        <w:rPr>
          <w:rFonts w:hint="eastAsia"/>
        </w:rPr>
        <w:t>2013</w:t>
      </w:r>
      <w:r>
        <w:rPr>
          <w:rFonts w:hint="eastAsia"/>
        </w:rPr>
        <w:t>年未发生大面积脱网事故。但是不同厂家在风机性能改造过程中技术水平和质量控制等方面的差异还很大，风电场一次抽检通过率仅为</w:t>
      </w:r>
      <w:r>
        <w:rPr>
          <w:rFonts w:hint="eastAsia"/>
        </w:rPr>
        <w:t>60%</w:t>
      </w:r>
      <w:r>
        <w:rPr>
          <w:rFonts w:hint="eastAsia"/>
        </w:rPr>
        <w:t>，经数次改造后补检通过的比率为</w:t>
      </w:r>
      <w:r>
        <w:rPr>
          <w:rFonts w:hint="eastAsia"/>
        </w:rPr>
        <w:t>38%</w:t>
      </w:r>
      <w:r>
        <w:rPr>
          <w:rFonts w:hint="eastAsia"/>
        </w:rPr>
        <w:t>，最终未通过的比率为</w:t>
      </w:r>
      <w:r>
        <w:rPr>
          <w:rFonts w:hint="eastAsia"/>
        </w:rPr>
        <w:t>2%</w:t>
      </w:r>
      <w:r>
        <w:rPr>
          <w:rFonts w:hint="eastAsia"/>
        </w:rPr>
        <w:t>。</w:t>
      </w:r>
    </w:p>
    <w:p w:rsidR="00CA619C" w:rsidRDefault="00CA619C" w:rsidP="00CA619C">
      <w:pPr>
        <w:ind w:firstLine="519"/>
        <w:rPr>
          <w:rFonts w:hint="eastAsia"/>
        </w:rPr>
      </w:pPr>
      <w:r>
        <w:rPr>
          <w:rFonts w:hint="eastAsia"/>
          <w:b/>
          <w:bCs/>
        </w:rPr>
        <w:t>大功率风电机组制造步入世界先进行列。</w:t>
      </w:r>
      <w:r>
        <w:rPr>
          <w:rFonts w:hint="eastAsia"/>
        </w:rPr>
        <w:t>自上海东海大桥海上风电场示范项目建设完成以后，我国海上风电开发建设缓慢。但是，国内风电设备制造企业在大容量风电机组研制方面一直在积极有序进行，这些大容量机组将主要应用于海上风电场。目前，已经投入试运行的功率超过</w:t>
      </w:r>
      <w:r>
        <w:rPr>
          <w:rFonts w:hint="eastAsia"/>
        </w:rPr>
        <w:t>3MW</w:t>
      </w:r>
      <w:r>
        <w:rPr>
          <w:rFonts w:hint="eastAsia"/>
        </w:rPr>
        <w:t>的风电机组有上海电气的</w:t>
      </w:r>
      <w:r>
        <w:rPr>
          <w:rFonts w:hint="eastAsia"/>
        </w:rPr>
        <w:t>3.6MW</w:t>
      </w:r>
      <w:r>
        <w:rPr>
          <w:rFonts w:hint="eastAsia"/>
        </w:rPr>
        <w:t>机组、华锐风电的</w:t>
      </w:r>
      <w:r>
        <w:rPr>
          <w:rFonts w:hint="eastAsia"/>
        </w:rPr>
        <w:t>5MW</w:t>
      </w:r>
      <w:r>
        <w:rPr>
          <w:rFonts w:hint="eastAsia"/>
        </w:rPr>
        <w:t>机组和</w:t>
      </w:r>
      <w:r>
        <w:rPr>
          <w:rFonts w:hint="eastAsia"/>
        </w:rPr>
        <w:t>6MW</w:t>
      </w:r>
      <w:r>
        <w:rPr>
          <w:rFonts w:hint="eastAsia"/>
        </w:rPr>
        <w:t>机组、联台动力的</w:t>
      </w:r>
      <w:r>
        <w:rPr>
          <w:rFonts w:hint="eastAsia"/>
        </w:rPr>
        <w:t>6MW</w:t>
      </w:r>
      <w:r>
        <w:rPr>
          <w:rFonts w:hint="eastAsia"/>
        </w:rPr>
        <w:t>机组、湘电风能的</w:t>
      </w:r>
      <w:r>
        <w:rPr>
          <w:rFonts w:hint="eastAsia"/>
        </w:rPr>
        <w:t>5MW</w:t>
      </w:r>
      <w:r>
        <w:rPr>
          <w:rFonts w:hint="eastAsia"/>
        </w:rPr>
        <w:t>机组、重庆海装的</w:t>
      </w:r>
      <w:r>
        <w:rPr>
          <w:rFonts w:hint="eastAsia"/>
        </w:rPr>
        <w:t>5MW</w:t>
      </w:r>
      <w:r>
        <w:rPr>
          <w:rFonts w:hint="eastAsia"/>
        </w:rPr>
        <w:t>机组和东汽的</w:t>
      </w:r>
      <w:r>
        <w:rPr>
          <w:rFonts w:hint="eastAsia"/>
        </w:rPr>
        <w:t>5.5MW</w:t>
      </w:r>
      <w:r>
        <w:rPr>
          <w:rFonts w:hint="eastAsia"/>
        </w:rPr>
        <w:t>机组，还有一些企业的大容量机组尚在研发之中，如浙江运达</w:t>
      </w:r>
      <w:r>
        <w:rPr>
          <w:rFonts w:hint="eastAsia"/>
        </w:rPr>
        <w:t>5MW</w:t>
      </w:r>
      <w:r>
        <w:rPr>
          <w:rFonts w:hint="eastAsia"/>
        </w:rPr>
        <w:t>机组、上海电气</w:t>
      </w:r>
      <w:r>
        <w:rPr>
          <w:rFonts w:hint="eastAsia"/>
        </w:rPr>
        <w:t>5MW</w:t>
      </w:r>
      <w:r>
        <w:rPr>
          <w:rFonts w:hint="eastAsia"/>
        </w:rPr>
        <w:t>机组、明阳风电</w:t>
      </w:r>
      <w:r>
        <w:rPr>
          <w:rFonts w:hint="eastAsia"/>
        </w:rPr>
        <w:t>6MW</w:t>
      </w:r>
      <w:r>
        <w:rPr>
          <w:rFonts w:hint="eastAsia"/>
        </w:rPr>
        <w:t>机组和金风科技的</w:t>
      </w:r>
      <w:r>
        <w:rPr>
          <w:rFonts w:hint="eastAsia"/>
        </w:rPr>
        <w:t>6MW</w:t>
      </w:r>
      <w:r>
        <w:rPr>
          <w:rFonts w:hint="eastAsia"/>
        </w:rPr>
        <w:t>机组等。</w:t>
      </w:r>
    </w:p>
    <w:p w:rsidR="00CA619C" w:rsidRDefault="00CA619C" w:rsidP="00CA619C">
      <w:pPr>
        <w:ind w:firstLine="480"/>
        <w:rPr>
          <w:rFonts w:hint="eastAsia"/>
        </w:rPr>
      </w:pPr>
      <w:r>
        <w:rPr>
          <w:rFonts w:hint="eastAsia"/>
        </w:rPr>
        <w:t>但是我国风机制造关键核心技术主要依赖进口的局面仍没有得到根本改变，与国际先进风电技术水平相比，我国风电产业还没有建立起与之相匹配的核心技术能力和产业竞争实力。这些问题主要体现着以下几个方面：一是研发力量薄弱，创新能力欠缺。二是研发投入不足，同质化现象严重。目前国内风电设备制造企业主要是依靠引进技术成长起来的，风电机组设计和关键技术仍然依赖国外，国内低层次技术的同质化竞争十分严重。三是关键零部件质量问题突出，导致风电事故频发。四是质量监督、市场监管不到位，低成本竞争愈演愈烈。部分企业面对激烈的市场竞争，单纯以降低成本方式占领市场，忽视技术进步、产品可靠性等内在核心竞争力的培育，已暴露出一些风电设备质量问题。</w:t>
      </w:r>
      <w:r>
        <w:rPr>
          <w:rFonts w:hint="eastAsia"/>
        </w:rPr>
        <w:t xml:space="preserve"> </w:t>
      </w:r>
      <w:r>
        <w:rPr>
          <w:rFonts w:hint="eastAsia"/>
        </w:rPr>
        <w:t>五是风电技术标准和法规体系尚不完善，明显落后于产业调整步伐。此外，一些附加值较高的风电设备关键零部件、材料和元器件尚未改变主要依靠进口的局面，影响了风电产业整体实力的进一步提高。</w:t>
      </w:r>
    </w:p>
    <w:p w:rsidR="00CA619C" w:rsidRDefault="00CA619C" w:rsidP="00CA619C">
      <w:pPr>
        <w:ind w:firstLine="480"/>
        <w:rPr>
          <w:rFonts w:hint="eastAsia"/>
        </w:rPr>
      </w:pPr>
      <w:r>
        <w:rPr>
          <w:rFonts w:hint="eastAsi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74"/>
      </w:tblGrid>
      <w:tr w:rsidR="00CA619C" w:rsidTr="00CA619C">
        <w:tc>
          <w:tcPr>
            <w:tcW w:w="9174" w:type="dxa"/>
          </w:tcPr>
          <w:p w:rsidR="00CA619C" w:rsidRDefault="00CA619C" w:rsidP="00CA619C">
            <w:pPr>
              <w:ind w:firstLine="519"/>
              <w:jc w:val="center"/>
              <w:rPr>
                <w:rFonts w:hint="eastAsia"/>
                <w:b/>
                <w:bCs/>
                <w:i/>
              </w:rPr>
            </w:pPr>
            <w:r>
              <w:rPr>
                <w:rFonts w:hint="eastAsia"/>
                <w:b/>
                <w:bCs/>
                <w:i/>
              </w:rPr>
              <w:t>专栏</w:t>
            </w:r>
            <w:r>
              <w:rPr>
                <w:rFonts w:hint="eastAsia"/>
                <w:b/>
                <w:bCs/>
                <w:i/>
              </w:rPr>
              <w:t xml:space="preserve">  </w:t>
            </w:r>
            <w:r>
              <w:rPr>
                <w:rFonts w:hint="eastAsia"/>
                <w:b/>
                <w:bCs/>
                <w:i/>
              </w:rPr>
              <w:t>我国几种大容量风电机组的技术特点</w:t>
            </w:r>
            <w:r>
              <w:rPr>
                <w:rStyle w:val="FootnoteReference"/>
                <w:rFonts w:hint="eastAsia"/>
                <w:b/>
                <w:bCs/>
                <w:i/>
              </w:rPr>
              <w:footnoteReference w:id="9"/>
            </w:r>
          </w:p>
          <w:p w:rsidR="00CA619C" w:rsidRDefault="00CA619C" w:rsidP="00CA619C">
            <w:pPr>
              <w:ind w:firstLine="480"/>
              <w:rPr>
                <w:rFonts w:hint="eastAsia"/>
              </w:rPr>
            </w:pPr>
            <w:r>
              <w:rPr>
                <w:rFonts w:hint="eastAsia"/>
              </w:rPr>
              <w:t>无论在国外还是在国内，人们在大容量风电机组的研制上采取了更具特色的技术路线，尤其在传动结构设计变桨控制技术及叶片制造等方面有更多创新性技术和新材料应用。根据企业已经公开的资料，对我国几种大容量风电机组技术特点介绍如下：</w:t>
            </w:r>
          </w:p>
          <w:p w:rsidR="00CA619C" w:rsidRDefault="00CA619C" w:rsidP="00CA619C">
            <w:pPr>
              <w:ind w:firstLine="480"/>
              <w:rPr>
                <w:rFonts w:hint="eastAsia"/>
              </w:rPr>
            </w:pPr>
            <w:r>
              <w:rPr>
                <w:rFonts w:hint="eastAsia"/>
              </w:rPr>
              <w:t>上海电气</w:t>
            </w:r>
            <w:r>
              <w:rPr>
                <w:rFonts w:hint="eastAsia"/>
              </w:rPr>
              <w:t>3.6MW</w:t>
            </w:r>
            <w:r>
              <w:rPr>
                <w:rFonts w:hint="eastAsia"/>
              </w:rPr>
              <w:t>风电机组采用了传统的带齿轮箱的变速恒频双馈技术，采用双馈异步发电机，齿轮箱一级行星轮和二级平行轴斜齿结构，采用电动变桨和电动偏航技术，风轮直径有</w:t>
            </w:r>
            <w:r>
              <w:rPr>
                <w:rFonts w:hint="eastAsia"/>
              </w:rPr>
              <w:t>116m</w:t>
            </w:r>
            <w:r>
              <w:rPr>
                <w:rFonts w:hint="eastAsia"/>
              </w:rPr>
              <w:t>和</w:t>
            </w:r>
            <w:r>
              <w:rPr>
                <w:rFonts w:hint="eastAsia"/>
              </w:rPr>
              <w:t>122m</w:t>
            </w:r>
            <w:r>
              <w:rPr>
                <w:rFonts w:hint="eastAsia"/>
              </w:rPr>
              <w:t>两款，风轮转速范围</w:t>
            </w:r>
            <w:r>
              <w:rPr>
                <w:rFonts w:hint="eastAsia"/>
              </w:rPr>
              <w:t>8.3~15.4rpm</w:t>
            </w:r>
            <w:r>
              <w:rPr>
                <w:rFonts w:hint="eastAsia"/>
              </w:rPr>
              <w:t>，切入风速</w:t>
            </w:r>
            <w:r>
              <w:rPr>
                <w:rFonts w:hint="eastAsia"/>
              </w:rPr>
              <w:t>3m/s</w:t>
            </w:r>
            <w:r>
              <w:rPr>
                <w:rFonts w:hint="eastAsia"/>
              </w:rPr>
              <w:t>，切出风速</w:t>
            </w:r>
            <w:r>
              <w:rPr>
                <w:rFonts w:hint="eastAsia"/>
              </w:rPr>
              <w:t>25m/s</w:t>
            </w:r>
            <w:r>
              <w:rPr>
                <w:rFonts w:hint="eastAsia"/>
              </w:rPr>
              <w:t>，额定风速</w:t>
            </w:r>
            <w:r>
              <w:rPr>
                <w:rFonts w:hint="eastAsia"/>
              </w:rPr>
              <w:t>11~13m/s</w:t>
            </w:r>
            <w:r>
              <w:rPr>
                <w:rFonts w:hint="eastAsia"/>
              </w:rPr>
              <w:t>，设计使用寿命</w:t>
            </w:r>
            <w:r>
              <w:rPr>
                <w:rFonts w:hint="eastAsia"/>
              </w:rPr>
              <w:t>25</w:t>
            </w:r>
            <w:r>
              <w:rPr>
                <w:rFonts w:hint="eastAsia"/>
              </w:rPr>
              <w:t>年。驱动链采用了紧凑型驱动链形式，这样不但缩短了驱动链长度，更重要的是可以最大限度的降低机舱重量。叶片设计采用了通过大量商业化实际应用的翼型，充分考虑了各种不确定因素导致的功率降低，使设计与实际运行更吻合。齿轮箱采用了先进的差动齿轮传动技术，实现功率分流，保证行星齿轮之间更均匀的载荷分配和更好的齿轮啮合，降低齿轮箱故障率，提高齿轮箱使用寿命。同时还采用了一系列先进的设计方法和技术，如冗余设计等提高可靠性的设计方法和技术。</w:t>
            </w:r>
          </w:p>
          <w:p w:rsidR="00CA619C" w:rsidRDefault="00CA619C" w:rsidP="00CA619C">
            <w:pPr>
              <w:ind w:firstLine="480"/>
              <w:rPr>
                <w:rFonts w:hint="eastAsia"/>
              </w:rPr>
            </w:pPr>
            <w:r>
              <w:rPr>
                <w:rFonts w:hint="eastAsia"/>
              </w:rPr>
              <w:t>湘电风能</w:t>
            </w:r>
            <w:r>
              <w:rPr>
                <w:rFonts w:hint="eastAsia"/>
              </w:rPr>
              <w:t>5MW</w:t>
            </w:r>
            <w:r>
              <w:rPr>
                <w:rFonts w:hint="eastAsia"/>
              </w:rPr>
              <w:t>风电机组</w:t>
            </w:r>
            <w:r>
              <w:rPr>
                <w:rFonts w:hint="eastAsia"/>
              </w:rPr>
              <w:t>(XD115-5000)</w:t>
            </w:r>
            <w:r>
              <w:rPr>
                <w:rFonts w:hint="eastAsia"/>
              </w:rPr>
              <w:t>采用直驱型设计，没有主轴和齿轮箱，单主轴承设计，并嵌入低速永磁同步发电机中，配全功率水冷变流器。主轴承采用多列圆柱滚子轴承，一端与轮毂联接，另一端与发电机锥形支撑和发电机转子联接，并安装在紧凑的机舱铸件上。这种设计可以将载荷分布到相对大的直径上，从而减轻重量。为适应海上环境，采用全封闭设计，内循环冷却系统，内置除盐雾设备。叶轮直径</w:t>
            </w:r>
            <w:r>
              <w:rPr>
                <w:rFonts w:hint="eastAsia"/>
              </w:rPr>
              <w:t>115</w:t>
            </w:r>
            <w:r>
              <w:rPr>
                <w:rFonts w:hint="eastAsia"/>
              </w:rPr>
              <w:t>米，轮毂高度</w:t>
            </w:r>
            <w:r>
              <w:rPr>
                <w:rFonts w:hint="eastAsia"/>
              </w:rPr>
              <w:t>100</w:t>
            </w:r>
            <w:r>
              <w:rPr>
                <w:rFonts w:hint="eastAsia"/>
              </w:rPr>
              <w:t>米，设计等级为</w:t>
            </w:r>
            <w:r>
              <w:rPr>
                <w:rFonts w:hint="eastAsia"/>
              </w:rPr>
              <w:t>IEC IC</w:t>
            </w:r>
            <w:r>
              <w:rPr>
                <w:rFonts w:hint="eastAsia"/>
              </w:rPr>
              <w:t>，机头重量</w:t>
            </w:r>
            <w:r>
              <w:rPr>
                <w:rFonts w:hint="eastAsia"/>
              </w:rPr>
              <w:t>265</w:t>
            </w:r>
            <w:r>
              <w:rPr>
                <w:rFonts w:hint="eastAsia"/>
              </w:rPr>
              <w:t>吨，其中叶轮</w:t>
            </w:r>
            <w:r>
              <w:rPr>
                <w:rFonts w:hint="eastAsia"/>
              </w:rPr>
              <w:t>85</w:t>
            </w:r>
            <w:r>
              <w:rPr>
                <w:rFonts w:hint="eastAsia"/>
              </w:rPr>
              <w:t>吨，发电机</w:t>
            </w:r>
            <w:r>
              <w:rPr>
                <w:rFonts w:hint="eastAsia"/>
              </w:rPr>
              <w:t>135</w:t>
            </w:r>
            <w:r>
              <w:rPr>
                <w:rFonts w:hint="eastAsia"/>
              </w:rPr>
              <w:t>吨，机舱</w:t>
            </w:r>
            <w:r>
              <w:rPr>
                <w:rFonts w:hint="eastAsia"/>
              </w:rPr>
              <w:t>45</w:t>
            </w:r>
            <w:r>
              <w:rPr>
                <w:rFonts w:hint="eastAsia"/>
              </w:rPr>
              <w:t>吨。</w:t>
            </w:r>
          </w:p>
          <w:p w:rsidR="00CA619C" w:rsidRDefault="00CA619C" w:rsidP="00CA619C">
            <w:pPr>
              <w:ind w:firstLine="480"/>
              <w:rPr>
                <w:rFonts w:hint="eastAsia"/>
              </w:rPr>
            </w:pPr>
            <w:r>
              <w:rPr>
                <w:rFonts w:hint="eastAsia"/>
              </w:rPr>
              <w:t>重庆海装</w:t>
            </w:r>
            <w:r>
              <w:rPr>
                <w:rFonts w:hint="eastAsia"/>
              </w:rPr>
              <w:t>5MW(H154-5MW)</w:t>
            </w:r>
            <w:r>
              <w:rPr>
                <w:rFonts w:hint="eastAsia"/>
              </w:rPr>
              <w:t>风电机组采用整体式铸造机架，大轴承，齿轮箱增速，高速永磁发电机，全功率变流器，机舱全密封结构，内部空空冷循环系统，其机舱结构紧凑，重量只有</w:t>
            </w:r>
            <w:r>
              <w:rPr>
                <w:rFonts w:hint="eastAsia"/>
              </w:rPr>
              <w:t>210</w:t>
            </w:r>
            <w:r>
              <w:rPr>
                <w:rFonts w:hint="eastAsia"/>
              </w:rPr>
              <w:t>吨。变桨备用电源采用超级电容，更加安全可靠。风轮直径</w:t>
            </w:r>
            <w:r>
              <w:rPr>
                <w:rFonts w:hint="eastAsia"/>
              </w:rPr>
              <w:t>154</w:t>
            </w:r>
            <w:r>
              <w:rPr>
                <w:rFonts w:hint="eastAsia"/>
              </w:rPr>
              <w:t>米，叶片长度为</w:t>
            </w:r>
            <w:r>
              <w:rPr>
                <w:rFonts w:hint="eastAsia"/>
              </w:rPr>
              <w:t>75</w:t>
            </w:r>
            <w:r>
              <w:rPr>
                <w:rFonts w:hint="eastAsia"/>
              </w:rPr>
              <w:t>米。标配在线监测系统和自动消防系统。叶片、齿轮箱、发电机、控制系统、轮毂、塔筒、润滑系列等重要零部件均由中船重工集团成员自己完成。</w:t>
            </w:r>
          </w:p>
          <w:p w:rsidR="00CA619C" w:rsidRDefault="00CA619C" w:rsidP="00CA619C">
            <w:pPr>
              <w:ind w:firstLine="480"/>
              <w:rPr>
                <w:rFonts w:hint="eastAsia"/>
              </w:rPr>
            </w:pPr>
            <w:r>
              <w:rPr>
                <w:rFonts w:hint="eastAsia"/>
              </w:rPr>
              <w:t>东汽</w:t>
            </w:r>
            <w:r>
              <w:rPr>
                <w:rFonts w:hint="eastAsia"/>
              </w:rPr>
              <w:t>5.5 MW(FD140A-5500KW)</w:t>
            </w:r>
            <w:r>
              <w:rPr>
                <w:rFonts w:hint="eastAsia"/>
              </w:rPr>
              <w:t>风电机组，齿轮箱采用两级行星</w:t>
            </w:r>
            <w:r>
              <w:rPr>
                <w:rFonts w:hint="eastAsia"/>
              </w:rPr>
              <w:t>+</w:t>
            </w:r>
            <w:r>
              <w:rPr>
                <w:rFonts w:hint="eastAsia"/>
              </w:rPr>
              <w:t>一级平行轴齿轮，发电机为永磁同步发电机，伺服电机电动变桨，独立变桨控制，叶片采用玻璃纤维增强复合材料制造，风轮直径</w:t>
            </w:r>
            <w:r>
              <w:rPr>
                <w:rFonts w:hint="eastAsia"/>
              </w:rPr>
              <w:t>140</w:t>
            </w:r>
            <w:r>
              <w:rPr>
                <w:rFonts w:hint="eastAsia"/>
              </w:rPr>
              <w:t>米，轮毂高度</w:t>
            </w:r>
            <w:r>
              <w:rPr>
                <w:rFonts w:hint="eastAsia"/>
              </w:rPr>
              <w:t>100</w:t>
            </w:r>
            <w:r>
              <w:rPr>
                <w:rFonts w:hint="eastAsia"/>
              </w:rPr>
              <w:t>米，额定风速</w:t>
            </w:r>
            <w:r>
              <w:rPr>
                <w:rFonts w:hint="eastAsia"/>
              </w:rPr>
              <w:t>13.5m/s</w:t>
            </w:r>
            <w:r>
              <w:rPr>
                <w:rFonts w:hint="eastAsia"/>
              </w:rPr>
              <w:t>。该机组完成低电压穿越试验，具备良好的海上工况适应性，极强的抗台风能力。全密封设计与盐雾过滤配置，实现了有效的防腐功能，同时还进行了完备的防火设计。其长叶片也由东汽自主研发并通过静力试验。</w:t>
            </w:r>
          </w:p>
          <w:p w:rsidR="00CA619C" w:rsidRDefault="00CA619C" w:rsidP="00CA619C">
            <w:pPr>
              <w:ind w:firstLine="480"/>
              <w:rPr>
                <w:rFonts w:hint="eastAsia"/>
              </w:rPr>
            </w:pPr>
            <w:r>
              <w:rPr>
                <w:rFonts w:hint="eastAsia"/>
              </w:rPr>
              <w:t>华锐风电</w:t>
            </w:r>
            <w:r>
              <w:rPr>
                <w:rFonts w:hint="eastAsia"/>
              </w:rPr>
              <w:t>6MW</w:t>
            </w:r>
            <w:r>
              <w:rPr>
                <w:rFonts w:hint="eastAsia"/>
              </w:rPr>
              <w:t>机组</w:t>
            </w:r>
            <w:r>
              <w:rPr>
                <w:rFonts w:hint="eastAsia"/>
              </w:rPr>
              <w:t>(SL6000/128)</w:t>
            </w:r>
            <w:r>
              <w:rPr>
                <w:rFonts w:hint="eastAsia"/>
              </w:rPr>
              <w:t>有常温型和低温型两种设计，采用两级行星</w:t>
            </w:r>
            <w:r>
              <w:rPr>
                <w:rFonts w:hint="eastAsia"/>
              </w:rPr>
              <w:t>+</w:t>
            </w:r>
            <w:r>
              <w:rPr>
                <w:rFonts w:hint="eastAsia"/>
              </w:rPr>
              <w:t>一级平行轴斜齿增速齿轮箱，水冷式双馈异步发电机，电机驱动式叶片独立变桨控制技术，叶片采用玻璃纤维增强复合材料，叶轮直径</w:t>
            </w:r>
            <w:r>
              <w:rPr>
                <w:rFonts w:hint="eastAsia"/>
              </w:rPr>
              <w:t>128</w:t>
            </w:r>
            <w:r>
              <w:rPr>
                <w:rFonts w:hint="eastAsia"/>
              </w:rPr>
              <w:t>米，轮毂高度</w:t>
            </w:r>
            <w:r>
              <w:rPr>
                <w:rFonts w:hint="eastAsia"/>
              </w:rPr>
              <w:t>100</w:t>
            </w:r>
            <w:r>
              <w:rPr>
                <w:rFonts w:hint="eastAsia"/>
              </w:rPr>
              <w:t>米，额定风速</w:t>
            </w:r>
            <w:r>
              <w:rPr>
                <w:rFonts w:hint="eastAsia"/>
              </w:rPr>
              <w:t>13.5m/s</w:t>
            </w:r>
            <w:r>
              <w:rPr>
                <w:rFonts w:hint="eastAsia"/>
              </w:rPr>
              <w:t>，另外还有一种型号叶轮直径</w:t>
            </w:r>
            <w:r>
              <w:rPr>
                <w:rFonts w:hint="eastAsia"/>
              </w:rPr>
              <w:t>155</w:t>
            </w:r>
            <w:r>
              <w:rPr>
                <w:rFonts w:hint="eastAsia"/>
              </w:rPr>
              <w:t>米，轮毂高度</w:t>
            </w:r>
            <w:r>
              <w:rPr>
                <w:rFonts w:hint="eastAsia"/>
              </w:rPr>
              <w:t>11</w:t>
            </w:r>
            <w:r>
              <w:rPr>
                <w:rFonts w:hint="eastAsia"/>
              </w:rPr>
              <w:t>米，额定风速</w:t>
            </w:r>
            <w:r>
              <w:rPr>
                <w:rFonts w:hint="eastAsia"/>
              </w:rPr>
              <w:t>10m/s</w:t>
            </w:r>
            <w:r>
              <w:rPr>
                <w:rFonts w:hint="eastAsia"/>
              </w:rPr>
              <w:t>。</w:t>
            </w:r>
          </w:p>
          <w:p w:rsidR="00CA619C" w:rsidRDefault="00CA619C" w:rsidP="00CA619C">
            <w:pPr>
              <w:ind w:firstLine="480"/>
              <w:rPr>
                <w:rFonts w:hint="eastAsia"/>
              </w:rPr>
            </w:pPr>
            <w:r>
              <w:rPr>
                <w:rFonts w:hint="eastAsia"/>
              </w:rPr>
              <w:t>国电联合动力</w:t>
            </w:r>
            <w:r>
              <w:rPr>
                <w:rFonts w:hint="eastAsia"/>
              </w:rPr>
              <w:t>6MW(UP6000-136)</w:t>
            </w:r>
            <w:r>
              <w:rPr>
                <w:rFonts w:hint="eastAsia"/>
              </w:rPr>
              <w:t>风电机组采用外齿圈偏航轴承、大型双列圆锥主轴承，以及短主轴的紧凑结构形式，大大减轻了机组的重量，机舱重量</w:t>
            </w:r>
            <w:r>
              <w:rPr>
                <w:rFonts w:hint="eastAsia"/>
              </w:rPr>
              <w:t>240</w:t>
            </w:r>
            <w:r>
              <w:rPr>
                <w:rFonts w:hint="eastAsia"/>
              </w:rPr>
              <w:t>吨</w:t>
            </w:r>
            <w:r>
              <w:rPr>
                <w:rFonts w:hint="eastAsia"/>
              </w:rPr>
              <w:t>;</w:t>
            </w:r>
            <w:r>
              <w:rPr>
                <w:rFonts w:hint="eastAsia"/>
              </w:rPr>
              <w:t>超级电容独立变桨控制，有效降低了机组承受的不均匀载荷，降低了机舱振动</w:t>
            </w:r>
            <w:r>
              <w:rPr>
                <w:rFonts w:hint="eastAsia"/>
              </w:rPr>
              <w:t>;6</w:t>
            </w:r>
            <w:r>
              <w:rPr>
                <w:rFonts w:hint="eastAsia"/>
              </w:rPr>
              <w:t>级双馈异步发电机，发电机定子电压</w:t>
            </w:r>
            <w:r>
              <w:rPr>
                <w:rFonts w:hint="eastAsia"/>
              </w:rPr>
              <w:t>6600V</w:t>
            </w:r>
            <w:r>
              <w:rPr>
                <w:rFonts w:hint="eastAsia"/>
              </w:rPr>
              <w:t>，可有效减小发电机损耗。齿轮箱两级行星一级平行斜齿设计。发电机、变流器、齿轮箱采用水冷方式，机舱内微正压设计，同时还具备低电压穿越能力及动态功率调节功能，使机组具备良好的电网适应性。风轮直径</w:t>
            </w:r>
            <w:r>
              <w:rPr>
                <w:rFonts w:hint="eastAsia"/>
              </w:rPr>
              <w:t>136</w:t>
            </w:r>
            <w:r>
              <w:rPr>
                <w:rFonts w:hint="eastAsia"/>
              </w:rPr>
              <w:t>米，轮毂高度</w:t>
            </w:r>
            <w:r>
              <w:rPr>
                <w:rFonts w:hint="eastAsia"/>
              </w:rPr>
              <w:t>95</w:t>
            </w:r>
            <w:r>
              <w:rPr>
                <w:rFonts w:hint="eastAsia"/>
              </w:rPr>
              <w:t>米，叶片长度</w:t>
            </w:r>
            <w:r>
              <w:rPr>
                <w:rFonts w:hint="eastAsia"/>
              </w:rPr>
              <w:t>66.5</w:t>
            </w:r>
            <w:r>
              <w:rPr>
                <w:rFonts w:hint="eastAsia"/>
              </w:rPr>
              <w:t>米，叶片生产采用真空灌注的制作工艺，生产效率高；叶片采用高强、高模的碳纤维复台材料替代传统的玻璃纤维，有效降低了重量，进而降低了机组的载荷。特殊的防腐设计，满足海上高盐雾和高腐蚀的运行环境。发电机为联合动力宜兴公司自主研发制造，在电磁计算方法、定子和转子绝缘结构等方面实现了创新与优化。</w:t>
            </w:r>
          </w:p>
        </w:tc>
      </w:tr>
    </w:tbl>
    <w:p w:rsidR="00CA619C" w:rsidRDefault="00CA619C" w:rsidP="00CA619C">
      <w:pPr>
        <w:pStyle w:val="Heading2"/>
        <w:rPr>
          <w:rFonts w:hint="eastAsia"/>
        </w:rPr>
      </w:pPr>
      <w:bookmarkStart w:id="29" w:name="_Toc392853112"/>
      <w:r>
        <w:rPr>
          <w:rFonts w:hint="eastAsia"/>
        </w:rPr>
        <w:t>太阳能光伏</w:t>
      </w:r>
      <w:bookmarkEnd w:id="29"/>
    </w:p>
    <w:p w:rsidR="00CA619C" w:rsidRDefault="00CA619C" w:rsidP="00CA619C">
      <w:pPr>
        <w:pStyle w:val="Heading3"/>
        <w:numPr>
          <w:ilvl w:val="2"/>
          <w:numId w:val="1"/>
        </w:numPr>
        <w:rPr>
          <w:rFonts w:hint="eastAsia"/>
        </w:rPr>
      </w:pPr>
      <w:bookmarkStart w:id="30" w:name="_Toc392853113"/>
      <w:r>
        <w:rPr>
          <w:rFonts w:hint="eastAsia"/>
        </w:rPr>
        <w:t>世界光伏产业现状与技术水平</w:t>
      </w:r>
      <w:bookmarkEnd w:id="30"/>
    </w:p>
    <w:p w:rsidR="00CA619C" w:rsidRDefault="00CA619C" w:rsidP="00CA619C">
      <w:pPr>
        <w:pStyle w:val="Heading4"/>
        <w:rPr>
          <w:rFonts w:hint="eastAsia"/>
        </w:rPr>
      </w:pPr>
      <w:r>
        <w:rPr>
          <w:rFonts w:hint="eastAsia"/>
        </w:rPr>
        <w:t>世界光伏产业现状</w:t>
      </w:r>
    </w:p>
    <w:p w:rsidR="00CA619C" w:rsidRDefault="00CA619C" w:rsidP="00CA619C">
      <w:pPr>
        <w:ind w:firstLine="480"/>
        <w:rPr>
          <w:rFonts w:hint="eastAsia"/>
        </w:rPr>
      </w:pPr>
      <w:r>
        <w:rPr>
          <w:rFonts w:hint="eastAsia"/>
        </w:rPr>
        <w:t>根据</w:t>
      </w:r>
      <w:r>
        <w:rPr>
          <w:rFonts w:hint="eastAsia"/>
        </w:rPr>
        <w:t>SEMI</w:t>
      </w:r>
      <w:r>
        <w:rPr>
          <w:rFonts w:hint="eastAsia"/>
        </w:rPr>
        <w:t>发布的《</w:t>
      </w:r>
      <w:r>
        <w:rPr>
          <w:rFonts w:hint="eastAsia"/>
        </w:rPr>
        <w:t>2013</w:t>
      </w:r>
      <w:r>
        <w:rPr>
          <w:rFonts w:hint="eastAsia"/>
        </w:rPr>
        <w:t>中国光伏产业发展报告》，</w:t>
      </w:r>
      <w:r>
        <w:rPr>
          <w:rFonts w:hint="eastAsia"/>
        </w:rPr>
        <w:t>2012</w:t>
      </w:r>
      <w:r>
        <w:rPr>
          <w:rFonts w:hint="eastAsia"/>
        </w:rPr>
        <w:t>年全球光伏新增装机容量达到</w:t>
      </w:r>
      <w:r>
        <w:rPr>
          <w:rFonts w:hint="eastAsia"/>
        </w:rPr>
        <w:t>31GW</w:t>
      </w:r>
      <w:r>
        <w:rPr>
          <w:rFonts w:hint="eastAsia"/>
        </w:rPr>
        <w:t>，相对于</w:t>
      </w:r>
      <w:r>
        <w:rPr>
          <w:rFonts w:hint="eastAsia"/>
        </w:rPr>
        <w:t>2011</w:t>
      </w:r>
      <w:r>
        <w:rPr>
          <w:rFonts w:hint="eastAsia"/>
        </w:rPr>
        <w:t>年的</w:t>
      </w:r>
      <w:r>
        <w:rPr>
          <w:rFonts w:hint="eastAsia"/>
        </w:rPr>
        <w:t>27.9GW</w:t>
      </w:r>
      <w:r>
        <w:rPr>
          <w:rFonts w:hint="eastAsia"/>
        </w:rPr>
        <w:t>增长</w:t>
      </w:r>
      <w:r>
        <w:rPr>
          <w:rFonts w:hint="eastAsia"/>
        </w:rPr>
        <w:t>11%</w:t>
      </w:r>
      <w:r>
        <w:rPr>
          <w:rFonts w:hint="eastAsia"/>
        </w:rPr>
        <w:t>，累计装机量达到</w:t>
      </w:r>
      <w:r>
        <w:rPr>
          <w:rFonts w:hint="eastAsia"/>
        </w:rPr>
        <w:t>98.5GW</w:t>
      </w:r>
      <w:r>
        <w:rPr>
          <w:rFonts w:hint="eastAsia"/>
        </w:rPr>
        <w:t>，创历史新高。全球光伏市场的中心正从欧洲的德国、意大利、法国、西班牙向中国、美国和日本等新兴市场转移。德国光伏进入稳定发展阶段，连续三年维持在</w:t>
      </w:r>
      <w:r>
        <w:rPr>
          <w:rFonts w:hint="eastAsia"/>
        </w:rPr>
        <w:t>7.5GW</w:t>
      </w:r>
      <w:r>
        <w:rPr>
          <w:rFonts w:hint="eastAsia"/>
        </w:rPr>
        <w:t>左右，意大利、西班牙等国深受经济危机的影响，</w:t>
      </w:r>
      <w:r>
        <w:rPr>
          <w:rFonts w:hint="eastAsia"/>
        </w:rPr>
        <w:t>2012</w:t>
      </w:r>
      <w:r>
        <w:rPr>
          <w:rFonts w:hint="eastAsia"/>
        </w:rPr>
        <w:t>年光伏装机量大幅减少。以中国、美国和日本为代表的新兴市场成为新的增长点，</w:t>
      </w:r>
      <w:r>
        <w:rPr>
          <w:rFonts w:hint="eastAsia"/>
        </w:rPr>
        <w:t>2012</w:t>
      </w:r>
      <w:r>
        <w:rPr>
          <w:rFonts w:hint="eastAsia"/>
        </w:rPr>
        <w:t>年三国装机合计占全球的</w:t>
      </w:r>
      <w:r>
        <w:rPr>
          <w:rFonts w:hint="eastAsia"/>
        </w:rPr>
        <w:t>31%</w:t>
      </w:r>
      <w:r>
        <w:rPr>
          <w:rFonts w:hint="eastAsia"/>
        </w:rPr>
        <w:t>。</w:t>
      </w:r>
    </w:p>
    <w:p w:rsidR="00CA619C" w:rsidRDefault="00CA619C" w:rsidP="00CA619C">
      <w:pPr>
        <w:ind w:firstLine="480"/>
        <w:jc w:val="center"/>
        <w:rPr>
          <w:rFonts w:hint="eastAsia"/>
        </w:rPr>
      </w:pPr>
      <w:r>
        <w:rPr>
          <w:noProof/>
          <w:lang w:eastAsia="en-US"/>
        </w:rPr>
        <w:drawing>
          <wp:inline distT="0" distB="0" distL="0" distR="0">
            <wp:extent cx="4130675" cy="2223135"/>
            <wp:effectExtent l="0" t="0" r="9525" b="1206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0675" cy="2223135"/>
                    </a:xfrm>
                    <a:prstGeom prst="rect">
                      <a:avLst/>
                    </a:prstGeom>
                    <a:noFill/>
                    <a:ln>
                      <a:noFill/>
                    </a:ln>
                  </pic:spPr>
                </pic:pic>
              </a:graphicData>
            </a:graphic>
          </wp:inline>
        </w:drawing>
      </w:r>
    </w:p>
    <w:p w:rsidR="00CA619C" w:rsidRDefault="00CA619C" w:rsidP="00CA619C">
      <w:pPr>
        <w:pStyle w:val="a3"/>
        <w:tabs>
          <w:tab w:val="left" w:pos="425"/>
        </w:tabs>
        <w:rPr>
          <w:rFonts w:hint="eastAsia"/>
        </w:rPr>
      </w:pPr>
      <w:bookmarkStart w:id="31" w:name="_Toc392853199"/>
      <w:r>
        <w:rPr>
          <w:rFonts w:hint="eastAsia"/>
        </w:rPr>
        <w:t>2001</w:t>
      </w:r>
      <w:r>
        <w:rPr>
          <w:rFonts w:hint="eastAsia"/>
        </w:rPr>
        <w:t>年</w:t>
      </w:r>
      <w:r>
        <w:rPr>
          <w:rFonts w:hint="eastAsia"/>
        </w:rPr>
        <w:t>-2013</w:t>
      </w:r>
      <w:r>
        <w:rPr>
          <w:rFonts w:hint="eastAsia"/>
        </w:rPr>
        <w:t>年全球年度新增及累积光伏装机容量</w:t>
      </w:r>
      <w:bookmarkEnd w:id="31"/>
    </w:p>
    <w:p w:rsidR="00CA619C" w:rsidRDefault="00CA619C" w:rsidP="00CA619C">
      <w:pPr>
        <w:pStyle w:val="a2"/>
        <w:ind w:left="840"/>
        <w:rPr>
          <w:rFonts w:hint="eastAsia"/>
        </w:rPr>
      </w:pPr>
      <w:r>
        <w:rPr>
          <w:rFonts w:hint="eastAsia"/>
        </w:rPr>
        <w:t>（来源：</w:t>
      </w:r>
      <w:r>
        <w:rPr>
          <w:rFonts w:hint="eastAsia"/>
        </w:rPr>
        <w:t>SEMI</w:t>
      </w:r>
      <w:r>
        <w:rPr>
          <w:rFonts w:hint="eastAsia"/>
        </w:rPr>
        <w:t>）</w:t>
      </w:r>
    </w:p>
    <w:p w:rsidR="00CA619C" w:rsidRPr="00C04579" w:rsidRDefault="00CA619C" w:rsidP="00CA619C">
      <w:pPr>
        <w:ind w:firstLine="480"/>
        <w:jc w:val="center"/>
      </w:pPr>
      <w:r>
        <w:rPr>
          <w:noProof/>
          <w:lang w:eastAsia="en-US"/>
        </w:rPr>
        <w:drawing>
          <wp:inline distT="0" distB="0" distL="0" distR="0">
            <wp:extent cx="4540250" cy="2632710"/>
            <wp:effectExtent l="25400" t="25400" r="31750" b="342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0250" cy="2632710"/>
                    </a:xfrm>
                    <a:prstGeom prst="rect">
                      <a:avLst/>
                    </a:prstGeom>
                    <a:noFill/>
                    <a:ln w="6350" cmpd="sng">
                      <a:solidFill>
                        <a:srgbClr val="000000"/>
                      </a:solidFill>
                      <a:miter lim="800000"/>
                      <a:headEnd/>
                      <a:tailEnd/>
                    </a:ln>
                    <a:effectLst/>
                  </pic:spPr>
                </pic:pic>
              </a:graphicData>
            </a:graphic>
          </wp:inline>
        </w:drawing>
      </w:r>
    </w:p>
    <w:p w:rsidR="00CA619C" w:rsidRDefault="00CA619C" w:rsidP="00CA619C">
      <w:pPr>
        <w:pStyle w:val="a3"/>
        <w:tabs>
          <w:tab w:val="left" w:pos="425"/>
        </w:tabs>
        <w:rPr>
          <w:rFonts w:hint="eastAsia"/>
        </w:rPr>
      </w:pPr>
      <w:bookmarkStart w:id="32" w:name="_Toc392853200"/>
      <w:r>
        <w:rPr>
          <w:rFonts w:hint="eastAsia"/>
        </w:rPr>
        <w:t>2012</w:t>
      </w:r>
      <w:r>
        <w:rPr>
          <w:rFonts w:hint="eastAsia"/>
        </w:rPr>
        <w:t>全球光伏市场分布</w:t>
      </w:r>
      <w:bookmarkEnd w:id="32"/>
    </w:p>
    <w:p w:rsidR="00CA619C" w:rsidRDefault="00CA619C" w:rsidP="00CA619C">
      <w:pPr>
        <w:pStyle w:val="a2"/>
        <w:ind w:left="840"/>
        <w:rPr>
          <w:rFonts w:hint="eastAsia"/>
        </w:rPr>
      </w:pPr>
      <w:r>
        <w:rPr>
          <w:rFonts w:hint="eastAsia"/>
        </w:rPr>
        <w:t>（来源：</w:t>
      </w:r>
      <w:r>
        <w:rPr>
          <w:rFonts w:hint="eastAsia"/>
        </w:rPr>
        <w:t>SEMI</w:t>
      </w:r>
      <w:r>
        <w:rPr>
          <w:rFonts w:hint="eastAsia"/>
        </w:rPr>
        <w:t>）</w:t>
      </w:r>
    </w:p>
    <w:p w:rsidR="00CA619C" w:rsidRDefault="00CA619C" w:rsidP="00CA619C">
      <w:pPr>
        <w:ind w:firstLine="480"/>
        <w:rPr>
          <w:rFonts w:hint="eastAsia"/>
        </w:rPr>
      </w:pPr>
      <w:r>
        <w:rPr>
          <w:rFonts w:hint="eastAsia"/>
        </w:rPr>
        <w:t>受</w:t>
      </w:r>
      <w:r>
        <w:rPr>
          <w:rFonts w:hint="eastAsia"/>
        </w:rPr>
        <w:t>2010</w:t>
      </w:r>
      <w:r>
        <w:rPr>
          <w:rFonts w:hint="eastAsia"/>
        </w:rPr>
        <w:t>年和</w:t>
      </w:r>
      <w:r>
        <w:rPr>
          <w:rFonts w:hint="eastAsia"/>
        </w:rPr>
        <w:t>2011</w:t>
      </w:r>
      <w:r>
        <w:rPr>
          <w:rFonts w:hint="eastAsia"/>
        </w:rPr>
        <w:t>年连续两年全球范围内制造产能非理性扩张的影响，在</w:t>
      </w:r>
      <w:r>
        <w:rPr>
          <w:rFonts w:hint="eastAsia"/>
        </w:rPr>
        <w:t>2011</w:t>
      </w:r>
      <w:r>
        <w:rPr>
          <w:rFonts w:hint="eastAsia"/>
        </w:rPr>
        <w:t>年底全球光伏制造产能突破</w:t>
      </w:r>
      <w:r>
        <w:rPr>
          <w:rFonts w:hint="eastAsia"/>
        </w:rPr>
        <w:t>79GW</w:t>
      </w:r>
      <w:r>
        <w:rPr>
          <w:rFonts w:hint="eastAsia"/>
        </w:rPr>
        <w:t>，产量</w:t>
      </w:r>
      <w:r>
        <w:rPr>
          <w:rFonts w:hint="eastAsia"/>
        </w:rPr>
        <w:t>40GW</w:t>
      </w:r>
      <w:r>
        <w:rPr>
          <w:rFonts w:hint="eastAsia"/>
        </w:rPr>
        <w:t>，而当年的装机量仅为</w:t>
      </w:r>
      <w:r>
        <w:rPr>
          <w:rFonts w:hint="eastAsia"/>
        </w:rPr>
        <w:t>27.7GW</w:t>
      </w:r>
      <w:r>
        <w:rPr>
          <w:rFonts w:hint="eastAsia"/>
        </w:rPr>
        <w:t>。供需的严重偏离导致了</w:t>
      </w:r>
      <w:r>
        <w:rPr>
          <w:rFonts w:hint="eastAsia"/>
        </w:rPr>
        <w:t>2012</w:t>
      </w:r>
      <w:r>
        <w:rPr>
          <w:rFonts w:hint="eastAsia"/>
        </w:rPr>
        <w:t>年组件价格延续了</w:t>
      </w:r>
      <w:r>
        <w:rPr>
          <w:rFonts w:hint="eastAsia"/>
        </w:rPr>
        <w:t>2011</w:t>
      </w:r>
      <w:r>
        <w:rPr>
          <w:rFonts w:hint="eastAsia"/>
        </w:rPr>
        <w:t>年下跌的趋势，从年初的</w:t>
      </w:r>
      <w:r>
        <w:rPr>
          <w:rFonts w:hint="eastAsia"/>
        </w:rPr>
        <w:t>0.9</w:t>
      </w:r>
      <w:r>
        <w:rPr>
          <w:rFonts w:hint="eastAsia"/>
        </w:rPr>
        <w:t>美元</w:t>
      </w:r>
      <w:r>
        <w:rPr>
          <w:rFonts w:hint="eastAsia"/>
        </w:rPr>
        <w:t>/</w:t>
      </w:r>
      <w:r>
        <w:rPr>
          <w:rFonts w:hint="eastAsia"/>
        </w:rPr>
        <w:t>瓦下降到年底的</w:t>
      </w:r>
      <w:r>
        <w:rPr>
          <w:rFonts w:hint="eastAsia"/>
        </w:rPr>
        <w:t>0.65</w:t>
      </w:r>
      <w:r>
        <w:rPr>
          <w:rFonts w:hint="eastAsia"/>
        </w:rPr>
        <w:t>美元</w:t>
      </w:r>
      <w:r>
        <w:rPr>
          <w:rFonts w:hint="eastAsia"/>
        </w:rPr>
        <w:t>/</w:t>
      </w:r>
      <w:r>
        <w:rPr>
          <w:rFonts w:hint="eastAsia"/>
        </w:rPr>
        <w:t>瓦。企业利润被挤压，破产倒闭的新闻也已让人些许麻木。经过</w:t>
      </w:r>
      <w:r>
        <w:rPr>
          <w:rFonts w:hint="eastAsia"/>
        </w:rPr>
        <w:t>2012</w:t>
      </w:r>
      <w:r>
        <w:rPr>
          <w:rFonts w:hint="eastAsia"/>
        </w:rPr>
        <w:t>年的洗礼，全球的光伏产能已降至</w:t>
      </w:r>
      <w:r>
        <w:rPr>
          <w:rFonts w:hint="eastAsia"/>
        </w:rPr>
        <w:t>70GW</w:t>
      </w:r>
      <w:r>
        <w:rPr>
          <w:rFonts w:hint="eastAsia"/>
        </w:rPr>
        <w:t>，产量</w:t>
      </w:r>
      <w:r>
        <w:rPr>
          <w:rFonts w:hint="eastAsia"/>
        </w:rPr>
        <w:t>39GW</w:t>
      </w:r>
      <w:r>
        <w:rPr>
          <w:rFonts w:hint="eastAsia"/>
        </w:rPr>
        <w:t>，但仍然高于</w:t>
      </w:r>
      <w:r>
        <w:rPr>
          <w:rFonts w:hint="eastAsia"/>
        </w:rPr>
        <w:t>31GW</w:t>
      </w:r>
      <w:r>
        <w:rPr>
          <w:rFonts w:hint="eastAsia"/>
        </w:rPr>
        <w:t>的新增装机。这标志着光伏制造整合大幕的拉开，也预示着整合的不断深入。</w:t>
      </w:r>
    </w:p>
    <w:p w:rsidR="00CA619C" w:rsidRDefault="00CA619C" w:rsidP="00CA619C">
      <w:pPr>
        <w:ind w:firstLine="480"/>
        <w:rPr>
          <w:rFonts w:hint="eastAsia"/>
        </w:rPr>
      </w:pPr>
      <w:r>
        <w:rPr>
          <w:rFonts w:hint="eastAsia"/>
        </w:rPr>
        <w:t>光伏制造方面，受</w:t>
      </w:r>
      <w:r>
        <w:rPr>
          <w:rFonts w:hint="eastAsia"/>
        </w:rPr>
        <w:t>2010</w:t>
      </w:r>
      <w:r>
        <w:rPr>
          <w:rFonts w:hint="eastAsia"/>
        </w:rPr>
        <w:t>年和</w:t>
      </w:r>
      <w:r>
        <w:rPr>
          <w:rFonts w:hint="eastAsia"/>
        </w:rPr>
        <w:t>2011</w:t>
      </w:r>
      <w:r>
        <w:rPr>
          <w:rFonts w:hint="eastAsia"/>
        </w:rPr>
        <w:t>年连续两年全球范围内制造产能非理性扩张的影响，</w:t>
      </w:r>
      <w:r>
        <w:rPr>
          <w:rFonts w:hint="eastAsia"/>
        </w:rPr>
        <w:t>2011</w:t>
      </w:r>
      <w:r>
        <w:rPr>
          <w:rFonts w:hint="eastAsia"/>
        </w:rPr>
        <w:t>年底全球光伏制造产能突破</w:t>
      </w:r>
      <w:r>
        <w:rPr>
          <w:rFonts w:hint="eastAsia"/>
        </w:rPr>
        <w:t>79GW</w:t>
      </w:r>
      <w:r>
        <w:rPr>
          <w:rFonts w:hint="eastAsia"/>
        </w:rPr>
        <w:t>，产量</w:t>
      </w:r>
      <w:r>
        <w:rPr>
          <w:rFonts w:hint="eastAsia"/>
        </w:rPr>
        <w:t>40GW</w:t>
      </w:r>
      <w:r>
        <w:rPr>
          <w:rFonts w:hint="eastAsia"/>
        </w:rPr>
        <w:t>，而当年的装机量仅为</w:t>
      </w:r>
      <w:r>
        <w:rPr>
          <w:rFonts w:hint="eastAsia"/>
        </w:rPr>
        <w:t>27.7GW</w:t>
      </w:r>
      <w:r>
        <w:rPr>
          <w:rFonts w:hint="eastAsia"/>
        </w:rPr>
        <w:t>。供需的严重偏离导致了</w:t>
      </w:r>
      <w:r>
        <w:rPr>
          <w:rFonts w:hint="eastAsia"/>
        </w:rPr>
        <w:t>2012</w:t>
      </w:r>
      <w:r>
        <w:rPr>
          <w:rFonts w:hint="eastAsia"/>
        </w:rPr>
        <w:t>年组件价格延续了</w:t>
      </w:r>
      <w:r>
        <w:rPr>
          <w:rFonts w:hint="eastAsia"/>
        </w:rPr>
        <w:t>2011</w:t>
      </w:r>
      <w:r>
        <w:rPr>
          <w:rFonts w:hint="eastAsia"/>
        </w:rPr>
        <w:t>年下跌的趋势，从</w:t>
      </w:r>
      <w:r>
        <w:rPr>
          <w:rFonts w:hint="eastAsia"/>
        </w:rPr>
        <w:t>2012</w:t>
      </w:r>
      <w:r>
        <w:rPr>
          <w:rFonts w:hint="eastAsia"/>
        </w:rPr>
        <w:t>年初的</w:t>
      </w:r>
      <w:r>
        <w:rPr>
          <w:rFonts w:hint="eastAsia"/>
        </w:rPr>
        <w:t>0.9</w:t>
      </w:r>
      <w:r>
        <w:rPr>
          <w:rFonts w:hint="eastAsia"/>
        </w:rPr>
        <w:t>美元</w:t>
      </w:r>
      <w:r>
        <w:rPr>
          <w:rFonts w:hint="eastAsia"/>
        </w:rPr>
        <w:t>/</w:t>
      </w:r>
      <w:r>
        <w:rPr>
          <w:rFonts w:hint="eastAsia"/>
        </w:rPr>
        <w:t>瓦下降到年底的</w:t>
      </w:r>
      <w:r>
        <w:rPr>
          <w:rFonts w:hint="eastAsia"/>
        </w:rPr>
        <w:t>0.65</w:t>
      </w:r>
      <w:r>
        <w:rPr>
          <w:rFonts w:hint="eastAsia"/>
        </w:rPr>
        <w:t>美元</w:t>
      </w:r>
      <w:r>
        <w:rPr>
          <w:rFonts w:hint="eastAsia"/>
        </w:rPr>
        <w:t>/</w:t>
      </w:r>
      <w:r>
        <w:rPr>
          <w:rFonts w:hint="eastAsia"/>
        </w:rPr>
        <w:t>瓦。企业利润被挤压，很多企业破产倒闭。经过</w:t>
      </w:r>
      <w:r>
        <w:rPr>
          <w:rFonts w:hint="eastAsia"/>
        </w:rPr>
        <w:t>2012</w:t>
      </w:r>
      <w:r>
        <w:rPr>
          <w:rFonts w:hint="eastAsia"/>
        </w:rPr>
        <w:t>年的洗礼，全球的光伏产能已降至</w:t>
      </w:r>
      <w:r>
        <w:rPr>
          <w:rFonts w:hint="eastAsia"/>
        </w:rPr>
        <w:t>70GW</w:t>
      </w:r>
      <w:r>
        <w:rPr>
          <w:rFonts w:hint="eastAsia"/>
        </w:rPr>
        <w:t>，产量</w:t>
      </w:r>
      <w:r>
        <w:rPr>
          <w:rFonts w:hint="eastAsia"/>
        </w:rPr>
        <w:t>39GW</w:t>
      </w:r>
      <w:r>
        <w:rPr>
          <w:rFonts w:hint="eastAsia"/>
        </w:rPr>
        <w:t>，但仍然高于</w:t>
      </w:r>
      <w:r>
        <w:rPr>
          <w:rFonts w:hint="eastAsia"/>
        </w:rPr>
        <w:t>31GW</w:t>
      </w:r>
      <w:r>
        <w:rPr>
          <w:rFonts w:hint="eastAsia"/>
        </w:rPr>
        <w:t>的新增装机。光伏制造业的整合正在不断深入。</w:t>
      </w:r>
    </w:p>
    <w:p w:rsidR="00CA619C" w:rsidRDefault="00CA619C" w:rsidP="00CA619C">
      <w:pPr>
        <w:ind w:firstLine="480"/>
        <w:rPr>
          <w:rFonts w:hint="eastAsia"/>
        </w:rPr>
      </w:pPr>
      <w:r>
        <w:rPr>
          <w:rFonts w:hint="eastAsia"/>
        </w:rPr>
        <w:t>在产能方面，根据</w:t>
      </w:r>
      <w:r>
        <w:rPr>
          <w:rFonts w:hint="eastAsia"/>
        </w:rPr>
        <w:t>SEMI</w:t>
      </w:r>
      <w:r>
        <w:rPr>
          <w:rFonts w:hint="eastAsia"/>
        </w:rPr>
        <w:t>发布的《全球光伏制造数据库》，</w:t>
      </w:r>
      <w:r>
        <w:rPr>
          <w:rFonts w:hint="eastAsia"/>
        </w:rPr>
        <w:t>2012</w:t>
      </w:r>
      <w:r>
        <w:rPr>
          <w:rFonts w:hint="eastAsia"/>
        </w:rPr>
        <w:t>年全球组件产能</w:t>
      </w:r>
      <w:r>
        <w:rPr>
          <w:rFonts w:hint="eastAsia"/>
        </w:rPr>
        <w:t>81GW</w:t>
      </w:r>
      <w:r>
        <w:rPr>
          <w:rFonts w:hint="eastAsia"/>
        </w:rPr>
        <w:t>，达到历史最高水平；但是产能利用率只有</w:t>
      </w:r>
      <w:r>
        <w:rPr>
          <w:rFonts w:hint="eastAsia"/>
        </w:rPr>
        <w:t>48%</w:t>
      </w:r>
      <w:r>
        <w:rPr>
          <w:rFonts w:hint="eastAsia"/>
        </w:rPr>
        <w:t>，是</w:t>
      </w:r>
      <w:r>
        <w:rPr>
          <w:rFonts w:hint="eastAsia"/>
        </w:rPr>
        <w:t>2006</w:t>
      </w:r>
      <w:r>
        <w:rPr>
          <w:rFonts w:hint="eastAsia"/>
        </w:rPr>
        <w:t>年以来的最低值。由于</w:t>
      </w:r>
      <w:r>
        <w:rPr>
          <w:rFonts w:hint="eastAsia"/>
        </w:rPr>
        <w:t>2012</w:t>
      </w:r>
      <w:r>
        <w:rPr>
          <w:rFonts w:hint="eastAsia"/>
        </w:rPr>
        <w:t>年在全行业的大面积倒闭与兼并重组，</w:t>
      </w:r>
      <w:r>
        <w:rPr>
          <w:rFonts w:hint="eastAsia"/>
        </w:rPr>
        <w:t>2013</w:t>
      </w:r>
      <w:r>
        <w:rPr>
          <w:rFonts w:hint="eastAsia"/>
        </w:rPr>
        <w:t>年全球组件产能预期下降到</w:t>
      </w:r>
      <w:r>
        <w:rPr>
          <w:rFonts w:hint="eastAsia"/>
        </w:rPr>
        <w:t>72GW</w:t>
      </w:r>
      <w:r>
        <w:rPr>
          <w:rFonts w:hint="eastAsia"/>
        </w:rPr>
        <w:t>，下滑</w:t>
      </w:r>
      <w:r>
        <w:rPr>
          <w:rFonts w:hint="eastAsia"/>
        </w:rPr>
        <w:t>13%</w:t>
      </w:r>
      <w:r>
        <w:rPr>
          <w:rFonts w:hint="eastAsia"/>
        </w:rPr>
        <w:t>。</w:t>
      </w:r>
      <w:r>
        <w:rPr>
          <w:rFonts w:hint="eastAsia"/>
        </w:rPr>
        <w:t>2012</w:t>
      </w:r>
      <w:r>
        <w:rPr>
          <w:rFonts w:hint="eastAsia"/>
        </w:rPr>
        <w:t>年全球多晶硅产量</w:t>
      </w:r>
      <w:r>
        <w:rPr>
          <w:rFonts w:hint="eastAsia"/>
        </w:rPr>
        <w:t>260KMT</w:t>
      </w:r>
      <w:r>
        <w:rPr>
          <w:rFonts w:hint="eastAsia"/>
        </w:rPr>
        <w:t>，产能利用率</w:t>
      </w:r>
      <w:r>
        <w:rPr>
          <w:rFonts w:hint="eastAsia"/>
        </w:rPr>
        <w:t>62%</w:t>
      </w:r>
      <w:r>
        <w:rPr>
          <w:rFonts w:hint="eastAsia"/>
        </w:rPr>
        <w:t>，在各产业段中居首，其它的产业段（铸锭、硅片、电池和组件）的产能利用率在</w:t>
      </w:r>
      <w:r>
        <w:rPr>
          <w:rFonts w:hint="eastAsia"/>
        </w:rPr>
        <w:t>50%</w:t>
      </w:r>
      <w:r>
        <w:rPr>
          <w:rFonts w:hint="eastAsia"/>
        </w:rPr>
        <w:t>左右。</w:t>
      </w:r>
      <w:r>
        <w:rPr>
          <w:rFonts w:hint="eastAsia"/>
        </w:rPr>
        <w:t>2012</w:t>
      </w:r>
      <w:r>
        <w:rPr>
          <w:rFonts w:hint="eastAsia"/>
        </w:rPr>
        <w:t>年全球晶体硅组件产能</w:t>
      </w:r>
      <w:r>
        <w:rPr>
          <w:rFonts w:hint="eastAsia"/>
        </w:rPr>
        <w:t>67.5GW</w:t>
      </w:r>
      <w:r>
        <w:rPr>
          <w:rFonts w:hint="eastAsia"/>
        </w:rPr>
        <w:t>，占全球光伏组件的</w:t>
      </w:r>
      <w:r>
        <w:rPr>
          <w:rFonts w:hint="eastAsia"/>
        </w:rPr>
        <w:t>83%</w:t>
      </w:r>
      <w:r>
        <w:rPr>
          <w:rFonts w:hint="eastAsia"/>
        </w:rPr>
        <w:t>；薄膜和聚光光伏组件的产能分别为</w:t>
      </w:r>
      <w:r>
        <w:rPr>
          <w:rFonts w:hint="eastAsia"/>
        </w:rPr>
        <w:t>12.7GW</w:t>
      </w:r>
      <w:r>
        <w:rPr>
          <w:rFonts w:hint="eastAsia"/>
        </w:rPr>
        <w:t>和</w:t>
      </w:r>
      <w:r>
        <w:rPr>
          <w:rFonts w:hint="eastAsia"/>
        </w:rPr>
        <w:t>800MW</w:t>
      </w:r>
      <w:r>
        <w:rPr>
          <w:rFonts w:hint="eastAsia"/>
        </w:rPr>
        <w:t>。</w:t>
      </w:r>
      <w:r>
        <w:rPr>
          <w:rFonts w:hint="eastAsia"/>
        </w:rPr>
        <w:t>2012</w:t>
      </w:r>
      <w:r>
        <w:rPr>
          <w:rFonts w:hint="eastAsia"/>
        </w:rPr>
        <w:t>年全球薄膜组件产能</w:t>
      </w:r>
      <w:r>
        <w:rPr>
          <w:rFonts w:hint="eastAsia"/>
        </w:rPr>
        <w:t>12.74GW</w:t>
      </w:r>
      <w:r>
        <w:rPr>
          <w:rFonts w:hint="eastAsia"/>
        </w:rPr>
        <w:t>，其中硅基薄膜组件以</w:t>
      </w:r>
      <w:r>
        <w:rPr>
          <w:rFonts w:hint="eastAsia"/>
        </w:rPr>
        <w:t>7.23GW</w:t>
      </w:r>
      <w:r>
        <w:rPr>
          <w:rFonts w:hint="eastAsia"/>
        </w:rPr>
        <w:t>的产能排在薄膜类组件的首位，但产能利用率只有</w:t>
      </w:r>
      <w:r>
        <w:rPr>
          <w:rFonts w:hint="eastAsia"/>
        </w:rPr>
        <w:t>32%</w:t>
      </w:r>
      <w:r>
        <w:rPr>
          <w:rFonts w:hint="eastAsia"/>
        </w:rPr>
        <w:t>，低于铜铟镓硒和碲化镉组件的产能利用率。中国、美国和日本分别以</w:t>
      </w:r>
      <w:r>
        <w:rPr>
          <w:rFonts w:hint="eastAsia"/>
        </w:rPr>
        <w:t>49GW</w:t>
      </w:r>
      <w:r>
        <w:rPr>
          <w:rFonts w:hint="eastAsia"/>
        </w:rPr>
        <w:t>、</w:t>
      </w:r>
      <w:r>
        <w:rPr>
          <w:rFonts w:hint="eastAsia"/>
        </w:rPr>
        <w:t>6.7GW</w:t>
      </w:r>
      <w:r>
        <w:rPr>
          <w:rFonts w:hint="eastAsia"/>
        </w:rPr>
        <w:t>和</w:t>
      </w:r>
      <w:r>
        <w:rPr>
          <w:rFonts w:hint="eastAsia"/>
        </w:rPr>
        <w:t>6.0GW</w:t>
      </w:r>
      <w:r>
        <w:rPr>
          <w:rFonts w:hint="eastAsia"/>
        </w:rPr>
        <w:t>排名</w:t>
      </w:r>
      <w:r>
        <w:rPr>
          <w:rFonts w:hint="eastAsia"/>
        </w:rPr>
        <w:t>2012</w:t>
      </w:r>
      <w:r>
        <w:rPr>
          <w:rFonts w:hint="eastAsia"/>
        </w:rPr>
        <w:t>年全球前三位，日本的产能利用率</w:t>
      </w:r>
      <w:r>
        <w:rPr>
          <w:rFonts w:hint="eastAsia"/>
        </w:rPr>
        <w:t>62%</w:t>
      </w:r>
      <w:r>
        <w:rPr>
          <w:rFonts w:hint="eastAsia"/>
        </w:rPr>
        <w:t>，高于中美两国。</w:t>
      </w:r>
      <w:r>
        <w:rPr>
          <w:rFonts w:hint="eastAsia"/>
        </w:rPr>
        <w:t>2012</w:t>
      </w:r>
      <w:r>
        <w:rPr>
          <w:rFonts w:hint="eastAsia"/>
        </w:rPr>
        <w:t>年中国光伏制造的产能</w:t>
      </w:r>
      <w:r>
        <w:rPr>
          <w:rFonts w:hint="eastAsia"/>
        </w:rPr>
        <w:t>/</w:t>
      </w:r>
      <w:r>
        <w:rPr>
          <w:rFonts w:hint="eastAsia"/>
        </w:rPr>
        <w:t>安装量比值为</w:t>
      </w:r>
      <w:r>
        <w:rPr>
          <w:rFonts w:hint="eastAsia"/>
        </w:rPr>
        <w:t>10.5</w:t>
      </w:r>
      <w:r>
        <w:rPr>
          <w:rFonts w:hint="eastAsia"/>
        </w:rPr>
        <w:t>，高出全球平均水平的</w:t>
      </w:r>
      <w:r>
        <w:rPr>
          <w:rFonts w:hint="eastAsia"/>
        </w:rPr>
        <w:t>4</w:t>
      </w:r>
      <w:r>
        <w:rPr>
          <w:rFonts w:hint="eastAsia"/>
        </w:rPr>
        <w:t>倍。到</w:t>
      </w:r>
      <w:r>
        <w:rPr>
          <w:rFonts w:hint="eastAsia"/>
        </w:rPr>
        <w:t>2015</w:t>
      </w:r>
      <w:r>
        <w:rPr>
          <w:rFonts w:hint="eastAsia"/>
        </w:rPr>
        <w:t>年，中国和全球的此数值将会降到</w:t>
      </w:r>
      <w:r>
        <w:rPr>
          <w:rFonts w:hint="eastAsia"/>
        </w:rPr>
        <w:t>7.7</w:t>
      </w:r>
      <w:r>
        <w:rPr>
          <w:rFonts w:hint="eastAsia"/>
        </w:rPr>
        <w:t>和</w:t>
      </w:r>
      <w:r>
        <w:rPr>
          <w:rFonts w:hint="eastAsia"/>
        </w:rPr>
        <w:t>1.7</w:t>
      </w:r>
      <w:r>
        <w:rPr>
          <w:rFonts w:hint="eastAsia"/>
        </w:rPr>
        <w:t>。</w:t>
      </w:r>
    </w:p>
    <w:p w:rsidR="00CA619C" w:rsidRDefault="00CA619C" w:rsidP="00CA619C">
      <w:pPr>
        <w:ind w:firstLine="480"/>
        <w:rPr>
          <w:rFonts w:hint="eastAsia"/>
        </w:rPr>
      </w:pPr>
      <w:r>
        <w:rPr>
          <w:rFonts w:ascii="宋体" w:hAnsi="宋体"/>
          <w:noProof/>
          <w:lang w:eastAsia="en-US"/>
        </w:rPr>
        <w:drawing>
          <wp:inline distT="0" distB="0" distL="0" distR="0">
            <wp:extent cx="4761230" cy="2948305"/>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1230" cy="2948305"/>
                    </a:xfrm>
                    <a:prstGeom prst="rect">
                      <a:avLst/>
                    </a:prstGeom>
                    <a:noFill/>
                    <a:ln>
                      <a:noFill/>
                    </a:ln>
                  </pic:spPr>
                </pic:pic>
              </a:graphicData>
            </a:graphic>
          </wp:inline>
        </w:drawing>
      </w:r>
      <w:r>
        <w:rPr>
          <w:rFonts w:ascii="宋体" w:hAnsi="宋体"/>
        </w:rPr>
        <w:t xml:space="preserve"> </w:t>
      </w:r>
    </w:p>
    <w:p w:rsidR="00CA619C" w:rsidRDefault="00CA619C" w:rsidP="00CA619C">
      <w:pPr>
        <w:pStyle w:val="a3"/>
        <w:rPr>
          <w:rFonts w:hint="eastAsia"/>
        </w:rPr>
      </w:pPr>
      <w:bookmarkStart w:id="33" w:name="_Toc392853201"/>
      <w:r>
        <w:rPr>
          <w:rFonts w:hint="eastAsia"/>
        </w:rPr>
        <w:t>2012</w:t>
      </w:r>
      <w:r>
        <w:rPr>
          <w:rFonts w:hint="eastAsia"/>
        </w:rPr>
        <w:t>年全球多晶硅产量与成本分析</w:t>
      </w:r>
      <w:bookmarkEnd w:id="33"/>
    </w:p>
    <w:p w:rsidR="00CA619C" w:rsidRDefault="00CA619C" w:rsidP="00CA619C">
      <w:pPr>
        <w:ind w:firstLine="480"/>
        <w:rPr>
          <w:rFonts w:hint="eastAsia"/>
        </w:rPr>
      </w:pPr>
      <w:r>
        <w:rPr>
          <w:rFonts w:ascii="宋体" w:hAnsi="宋体"/>
          <w:noProof/>
          <w:lang w:eastAsia="en-US"/>
        </w:rPr>
        <w:drawing>
          <wp:inline distT="0" distB="0" distL="0" distR="0">
            <wp:extent cx="4761230" cy="3547110"/>
            <wp:effectExtent l="0" t="0" r="0" b="889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1230" cy="3547110"/>
                    </a:xfrm>
                    <a:prstGeom prst="rect">
                      <a:avLst/>
                    </a:prstGeom>
                    <a:noFill/>
                    <a:ln>
                      <a:noFill/>
                    </a:ln>
                  </pic:spPr>
                </pic:pic>
              </a:graphicData>
            </a:graphic>
          </wp:inline>
        </w:drawing>
      </w:r>
      <w:r>
        <w:rPr>
          <w:rFonts w:ascii="宋体" w:hAnsi="宋体"/>
        </w:rPr>
        <w:t xml:space="preserve"> </w:t>
      </w:r>
    </w:p>
    <w:p w:rsidR="00CA619C" w:rsidRDefault="00CA619C" w:rsidP="00CA619C">
      <w:pPr>
        <w:pStyle w:val="a3"/>
        <w:rPr>
          <w:rFonts w:hint="eastAsia"/>
        </w:rPr>
      </w:pPr>
      <w:bookmarkStart w:id="34" w:name="_Toc392853202"/>
      <w:r>
        <w:rPr>
          <w:rFonts w:hint="eastAsia"/>
        </w:rPr>
        <w:t>全球光伏产量与市场需求分析</w:t>
      </w:r>
      <w:bookmarkEnd w:id="34"/>
    </w:p>
    <w:p w:rsidR="00CA619C" w:rsidRDefault="00CA619C" w:rsidP="00CA619C">
      <w:pPr>
        <w:ind w:firstLine="519"/>
        <w:rPr>
          <w:rFonts w:hint="eastAsia"/>
        </w:rPr>
      </w:pPr>
      <w:r>
        <w:rPr>
          <w:rFonts w:hint="eastAsia"/>
          <w:b/>
          <w:bCs/>
        </w:rPr>
        <w:t>美国太阳能产业主要分为太阳能光伏发电</w:t>
      </w:r>
      <w:r>
        <w:rPr>
          <w:rFonts w:hint="eastAsia"/>
          <w:b/>
          <w:bCs/>
        </w:rPr>
        <w:t>(photovoltaic PV)</w:t>
      </w:r>
      <w:r>
        <w:rPr>
          <w:rFonts w:hint="eastAsia"/>
          <w:b/>
          <w:bCs/>
        </w:rPr>
        <w:t>和太阳能集热</w:t>
      </w:r>
      <w:r>
        <w:rPr>
          <w:rFonts w:hint="eastAsia"/>
          <w:b/>
          <w:bCs/>
        </w:rPr>
        <w:t>(Concentrating solar power</w:t>
      </w:r>
      <w:r>
        <w:rPr>
          <w:rFonts w:hint="eastAsia"/>
          <w:b/>
          <w:bCs/>
        </w:rPr>
        <w:t>，</w:t>
      </w:r>
      <w:r>
        <w:rPr>
          <w:rFonts w:hint="eastAsia"/>
          <w:b/>
          <w:bCs/>
        </w:rPr>
        <w:t>CSP)</w:t>
      </w:r>
      <w:r>
        <w:rPr>
          <w:rFonts w:hint="eastAsia"/>
          <w:b/>
          <w:bCs/>
        </w:rPr>
        <w:t>两大类。</w:t>
      </w:r>
      <w:r>
        <w:rPr>
          <w:rFonts w:hint="eastAsia"/>
        </w:rPr>
        <w:t>据美国劳伦斯国家实验室的数据统计，</w:t>
      </w:r>
      <w:r>
        <w:rPr>
          <w:rFonts w:hint="eastAsia"/>
        </w:rPr>
        <w:t>2012</w:t>
      </w:r>
      <w:r>
        <w:rPr>
          <w:rFonts w:hint="eastAsia"/>
        </w:rPr>
        <w:t>年，太阳能占美国能源消耗总量的</w:t>
      </w:r>
      <w:r>
        <w:rPr>
          <w:rFonts w:hint="eastAsia"/>
        </w:rPr>
        <w:t>0.235%</w:t>
      </w:r>
      <w:r>
        <w:rPr>
          <w:rFonts w:hint="eastAsia"/>
        </w:rPr>
        <w:t>。虽然太阳能产业在美国能源消费中比例仍然很小，但发展迅速。截至</w:t>
      </w:r>
      <w:r>
        <w:rPr>
          <w:rFonts w:hint="eastAsia"/>
        </w:rPr>
        <w:t>2012</w:t>
      </w:r>
      <w:r>
        <w:rPr>
          <w:rFonts w:hint="eastAsia"/>
        </w:rPr>
        <w:t>年底，美国累计并网发电的光伏系统已增长到</w:t>
      </w:r>
      <w:r>
        <w:rPr>
          <w:rFonts w:hint="eastAsia"/>
        </w:rPr>
        <w:t>74</w:t>
      </w:r>
      <w:r>
        <w:rPr>
          <w:rFonts w:hint="eastAsia"/>
        </w:rPr>
        <w:t>亿千瓦</w:t>
      </w:r>
      <w:r>
        <w:rPr>
          <w:rFonts w:hint="eastAsia"/>
        </w:rPr>
        <w:t>(7.4GWDC)</w:t>
      </w:r>
      <w:r>
        <w:rPr>
          <w:rFonts w:hint="eastAsia"/>
        </w:rPr>
        <w:t>。</w:t>
      </w:r>
      <w:r>
        <w:rPr>
          <w:rFonts w:hint="eastAsia"/>
        </w:rPr>
        <w:t>2012</w:t>
      </w:r>
      <w:r>
        <w:rPr>
          <w:rFonts w:hint="eastAsia"/>
        </w:rPr>
        <w:t>年美国光伏产业从数量和发电量都大幅增长。与</w:t>
      </w:r>
      <w:r>
        <w:rPr>
          <w:rFonts w:hint="eastAsia"/>
        </w:rPr>
        <w:t>2011</w:t>
      </w:r>
      <w:r>
        <w:rPr>
          <w:rFonts w:hint="eastAsia"/>
        </w:rPr>
        <w:t>年相比，新装机增加</w:t>
      </w:r>
      <w:r>
        <w:rPr>
          <w:rFonts w:hint="eastAsia"/>
        </w:rPr>
        <w:t>80%</w:t>
      </w:r>
      <w:r>
        <w:rPr>
          <w:rFonts w:hint="eastAsia"/>
        </w:rPr>
        <w:t>，达</w:t>
      </w:r>
      <w:r>
        <w:rPr>
          <w:rFonts w:hint="eastAsia"/>
        </w:rPr>
        <w:t>33</w:t>
      </w:r>
      <w:r>
        <w:rPr>
          <w:rFonts w:hint="eastAsia"/>
        </w:rPr>
        <w:t>亿千瓦</w:t>
      </w:r>
      <w:r>
        <w:rPr>
          <w:rFonts w:hint="eastAsia"/>
        </w:rPr>
        <w:t>(3.3GW)</w:t>
      </w:r>
      <w:r>
        <w:rPr>
          <w:rFonts w:hint="eastAsia"/>
        </w:rPr>
        <w:t>，连续</w:t>
      </w:r>
      <w:r>
        <w:rPr>
          <w:rFonts w:hint="eastAsia"/>
        </w:rPr>
        <w:t>6</w:t>
      </w:r>
      <w:r>
        <w:rPr>
          <w:rFonts w:hint="eastAsia"/>
        </w:rPr>
        <w:t>年增长率超过</w:t>
      </w:r>
      <w:r>
        <w:rPr>
          <w:rFonts w:hint="eastAsia"/>
        </w:rPr>
        <w:t>40%</w:t>
      </w:r>
      <w:r>
        <w:rPr>
          <w:rFonts w:hint="eastAsia"/>
        </w:rPr>
        <w:t>，过去</w:t>
      </w:r>
      <w:r>
        <w:rPr>
          <w:rFonts w:hint="eastAsia"/>
        </w:rPr>
        <w:t>10</w:t>
      </w:r>
      <w:r>
        <w:rPr>
          <w:rFonts w:hint="eastAsia"/>
        </w:rPr>
        <w:t>年复合增长率达到惊人的</w:t>
      </w:r>
      <w:r>
        <w:rPr>
          <w:rFonts w:hint="eastAsia"/>
        </w:rPr>
        <w:t>65%</w:t>
      </w:r>
      <w:r>
        <w:rPr>
          <w:rFonts w:hint="eastAsia"/>
        </w:rPr>
        <w:t>，总装机增加</w:t>
      </w:r>
      <w:r>
        <w:rPr>
          <w:rFonts w:hint="eastAsia"/>
        </w:rPr>
        <w:t>2.5</w:t>
      </w:r>
      <w:r>
        <w:rPr>
          <w:rFonts w:hint="eastAsia"/>
        </w:rPr>
        <w:t>倍，安装在家庭</w:t>
      </w:r>
      <w:r>
        <w:rPr>
          <w:rFonts w:hint="eastAsia"/>
        </w:rPr>
        <w:t>(5</w:t>
      </w:r>
      <w:r>
        <w:rPr>
          <w:rFonts w:hint="eastAsia"/>
        </w:rPr>
        <w:t>亿千瓦</w:t>
      </w:r>
      <w:r>
        <w:rPr>
          <w:rFonts w:hint="eastAsia"/>
        </w:rPr>
        <w:t>)</w:t>
      </w:r>
      <w:r>
        <w:rPr>
          <w:rFonts w:hint="eastAsia"/>
        </w:rPr>
        <w:t>、商业建筑</w:t>
      </w:r>
      <w:r>
        <w:rPr>
          <w:rFonts w:hint="eastAsia"/>
        </w:rPr>
        <w:t>(10</w:t>
      </w:r>
      <w:r>
        <w:rPr>
          <w:rFonts w:hint="eastAsia"/>
        </w:rPr>
        <w:t>亿千瓦</w:t>
      </w:r>
      <w:r>
        <w:rPr>
          <w:rFonts w:hint="eastAsia"/>
        </w:rPr>
        <w:t>)</w:t>
      </w:r>
      <w:r>
        <w:rPr>
          <w:rFonts w:hint="eastAsia"/>
        </w:rPr>
        <w:t>和政府部门建筑</w:t>
      </w:r>
      <w:r>
        <w:rPr>
          <w:rFonts w:hint="eastAsia"/>
        </w:rPr>
        <w:t>(18</w:t>
      </w:r>
      <w:r>
        <w:rPr>
          <w:rFonts w:hint="eastAsia"/>
        </w:rPr>
        <w:t>亿千瓦</w:t>
      </w:r>
      <w:r>
        <w:rPr>
          <w:rFonts w:hint="eastAsia"/>
        </w:rPr>
        <w:t>)</w:t>
      </w:r>
      <w:r>
        <w:rPr>
          <w:rFonts w:hint="eastAsia"/>
        </w:rPr>
        <w:t>上的分布式系统增加</w:t>
      </w:r>
      <w:r>
        <w:rPr>
          <w:rFonts w:hint="eastAsia"/>
        </w:rPr>
        <w:t>36%</w:t>
      </w:r>
      <w:r>
        <w:rPr>
          <w:rFonts w:hint="eastAsia"/>
        </w:rPr>
        <w:t>。目前，美国光伏发电新装机占全美发电总装机的</w:t>
      </w:r>
      <w:r>
        <w:rPr>
          <w:rFonts w:hint="eastAsia"/>
        </w:rPr>
        <w:t>12%</w:t>
      </w:r>
      <w:r>
        <w:rPr>
          <w:rFonts w:hint="eastAsia"/>
        </w:rPr>
        <w:t>。</w:t>
      </w:r>
      <w:r>
        <w:rPr>
          <w:rFonts w:hint="eastAsia"/>
        </w:rPr>
        <w:t>2012</w:t>
      </w:r>
      <w:r>
        <w:rPr>
          <w:rFonts w:hint="eastAsia"/>
        </w:rPr>
        <w:t>年，得益于各州对新能源所占比例要求和美国能源部联邦贷款担保，美国大型光伏发电设备安装项目出现成倍增长。在加州</w:t>
      </w:r>
      <w:r>
        <w:rPr>
          <w:rFonts w:hint="eastAsia"/>
        </w:rPr>
        <w:t>5</w:t>
      </w:r>
      <w:r>
        <w:rPr>
          <w:rFonts w:hint="eastAsia"/>
        </w:rPr>
        <w:t>个最大的安装项目都为太平洋燃气和电力公司</w:t>
      </w:r>
      <w:r>
        <w:rPr>
          <w:rFonts w:hint="eastAsia"/>
        </w:rPr>
        <w:t>(PG&amp;E)</w:t>
      </w:r>
      <w:r>
        <w:rPr>
          <w:rFonts w:hint="eastAsia"/>
        </w:rPr>
        <w:t>供电，</w:t>
      </w:r>
      <w:r>
        <w:rPr>
          <w:rFonts w:hint="eastAsia"/>
        </w:rPr>
        <w:t>2012</w:t>
      </w:r>
      <w:r>
        <w:rPr>
          <w:rFonts w:hint="eastAsia"/>
        </w:rPr>
        <w:t>年该公司的的光伏项目发电占了全美</w:t>
      </w:r>
      <w:r>
        <w:rPr>
          <w:rFonts w:hint="eastAsia"/>
        </w:rPr>
        <w:t>30%</w:t>
      </w:r>
      <w:r>
        <w:rPr>
          <w:rFonts w:hint="eastAsia"/>
        </w:rPr>
        <w:t>。</w:t>
      </w:r>
      <w:r>
        <w:rPr>
          <w:rFonts w:hint="eastAsia"/>
        </w:rPr>
        <w:t>2012</w:t>
      </w:r>
      <w:r>
        <w:rPr>
          <w:rFonts w:hint="eastAsia"/>
        </w:rPr>
        <w:t>年连接电网的分布式光伏发电能力比</w:t>
      </w:r>
      <w:r>
        <w:rPr>
          <w:rFonts w:hint="eastAsia"/>
        </w:rPr>
        <w:t>2011</w:t>
      </w:r>
      <w:r>
        <w:rPr>
          <w:rFonts w:hint="eastAsia"/>
        </w:rPr>
        <w:t>年增长了</w:t>
      </w:r>
      <w:r>
        <w:rPr>
          <w:rFonts w:hint="eastAsia"/>
        </w:rPr>
        <w:t>36%</w:t>
      </w:r>
      <w:r>
        <w:rPr>
          <w:rFonts w:hint="eastAsia"/>
        </w:rPr>
        <w:t>。得益于租赁和第三方对该系统的使用，</w:t>
      </w:r>
      <w:r>
        <w:rPr>
          <w:rFonts w:hint="eastAsia"/>
        </w:rPr>
        <w:t>2012</w:t>
      </w:r>
      <w:r>
        <w:rPr>
          <w:rFonts w:hint="eastAsia"/>
        </w:rPr>
        <w:t>年新增了分布式光伏系统</w:t>
      </w:r>
      <w:r>
        <w:rPr>
          <w:rFonts w:hint="eastAsia"/>
        </w:rPr>
        <w:t>9.5</w:t>
      </w:r>
      <w:r>
        <w:rPr>
          <w:rFonts w:hint="eastAsia"/>
        </w:rPr>
        <w:t>万个，其中家庭安装的增长了</w:t>
      </w:r>
      <w:r>
        <w:rPr>
          <w:rFonts w:hint="eastAsia"/>
        </w:rPr>
        <w:t>61%</w:t>
      </w:r>
      <w:r>
        <w:rPr>
          <w:rFonts w:hint="eastAsia"/>
        </w:rPr>
        <w:t>。</w:t>
      </w:r>
      <w:r>
        <w:rPr>
          <w:rFonts w:hint="eastAsia"/>
        </w:rPr>
        <w:t>2012</w:t>
      </w:r>
      <w:r>
        <w:rPr>
          <w:rFonts w:hint="eastAsia"/>
        </w:rPr>
        <w:t>年超过三分之二的新安装光伏发电系统集中在加州、亚利桑那州、新泽西州和内华达州。在</w:t>
      </w:r>
      <w:r>
        <w:rPr>
          <w:rFonts w:hint="eastAsia"/>
        </w:rPr>
        <w:t>2012</w:t>
      </w:r>
      <w:r>
        <w:rPr>
          <w:rFonts w:hint="eastAsia"/>
        </w:rPr>
        <w:t>年新装机的前十州里，亚利桑那州、夏威夷、马里兰州、马萨诸塞州、内华达州和北卡罗来纳州装机都超过了去年的一倍。</w:t>
      </w:r>
    </w:p>
    <w:p w:rsidR="00CA619C" w:rsidRDefault="00CA619C" w:rsidP="00CA619C">
      <w:pPr>
        <w:ind w:firstLine="480"/>
        <w:rPr>
          <w:rFonts w:hint="eastAsia"/>
        </w:rPr>
      </w:pPr>
      <w:r>
        <w:rPr>
          <w:rFonts w:hint="eastAsia"/>
        </w:rPr>
        <w:t>加利福尼亚州作为美国西岸的门户，由于其独特的气候条件地理位置非常适合太阳能产业的发展，目前已成为全美发展太阳能产业的一枝独秀。</w:t>
      </w:r>
      <w:r>
        <w:rPr>
          <w:rFonts w:hint="eastAsia"/>
        </w:rPr>
        <w:t>2012</w:t>
      </w:r>
      <w:r>
        <w:rPr>
          <w:rFonts w:hint="eastAsia"/>
        </w:rPr>
        <w:t>年加州光伏发电新装机</w:t>
      </w:r>
      <w:r>
        <w:rPr>
          <w:rFonts w:hint="eastAsia"/>
        </w:rPr>
        <w:t>10.33</w:t>
      </w:r>
      <w:r>
        <w:rPr>
          <w:rFonts w:hint="eastAsia"/>
        </w:rPr>
        <w:t>亿千瓦，占全美新装机总量的三分之一，比</w:t>
      </w:r>
      <w:r>
        <w:rPr>
          <w:rFonts w:hint="eastAsia"/>
        </w:rPr>
        <w:t>2011</w:t>
      </w:r>
      <w:r>
        <w:rPr>
          <w:rFonts w:hint="eastAsia"/>
        </w:rPr>
        <w:t>年的</w:t>
      </w:r>
      <w:r>
        <w:rPr>
          <w:rFonts w:hint="eastAsia"/>
        </w:rPr>
        <w:t>5.77</w:t>
      </w:r>
      <w:r>
        <w:rPr>
          <w:rFonts w:hint="eastAsia"/>
        </w:rPr>
        <w:t>亿千瓦增加了近一倍。如果以国家为单位计算的话，加州的太阳能装机量位列世界第</w:t>
      </w:r>
      <w:r>
        <w:rPr>
          <w:rFonts w:hint="eastAsia"/>
        </w:rPr>
        <w:t>7</w:t>
      </w:r>
      <w:r>
        <w:rPr>
          <w:rFonts w:hint="eastAsia"/>
        </w:rPr>
        <w:t>位。</w:t>
      </w:r>
      <w:r>
        <w:rPr>
          <w:rFonts w:hint="eastAsia"/>
        </w:rPr>
        <w:t>2013</w:t>
      </w:r>
      <w:r>
        <w:rPr>
          <w:rFonts w:hint="eastAsia"/>
        </w:rPr>
        <w:t>年加利福尼亚仍居美国光伏市场产能首位。随着公共事业电站的增加，北卡罗来纳州的光伏产能超过亚利桑那州和新泽西州，跃居第二。新墨西哥州和纽约也于</w:t>
      </w:r>
      <w:r>
        <w:rPr>
          <w:rFonts w:hint="eastAsia"/>
        </w:rPr>
        <w:t>2013</w:t>
      </w:r>
      <w:r>
        <w:rPr>
          <w:rFonts w:hint="eastAsia"/>
        </w:rPr>
        <w:t>年取代了马里兰州和科罗拉多州，挤入美国光伏产能前十位。</w:t>
      </w:r>
    </w:p>
    <w:p w:rsidR="00CA619C" w:rsidRDefault="00CA619C" w:rsidP="00CA619C">
      <w:pPr>
        <w:ind w:firstLine="480"/>
        <w:rPr>
          <w:rFonts w:hint="eastAsia"/>
        </w:rPr>
      </w:pPr>
      <w:r>
        <w:rPr>
          <w:rFonts w:hint="eastAsia"/>
        </w:rPr>
        <w:t>据不完全统计，目前在北加州的中资太阳能企业超过</w:t>
      </w:r>
      <w:r>
        <w:rPr>
          <w:rFonts w:hint="eastAsia"/>
        </w:rPr>
        <w:t>17</w:t>
      </w:r>
      <w:r>
        <w:rPr>
          <w:rFonts w:hint="eastAsia"/>
        </w:rPr>
        <w:t>家。主要有汉能、英利、晶澳、天合光能、新澳、海润、昱辉、中利腾辉、比亚迪和阳光电源等。在北加州的中资光伏企业多为设备供应商，有些企业在加州已经营多年，大多数企业经营情况良好，但受到美国对我太阳能产品双反调查的影响，市场波动较大，竞争也越加激烈，但从长远来看，随着技术的不断创新和当地政策的鼓励和推动，多数企业对加州太阳能的发展前景充满信心。</w:t>
      </w:r>
    </w:p>
    <w:p w:rsidR="00CA619C" w:rsidRDefault="00CA619C" w:rsidP="00CA619C">
      <w:pPr>
        <w:ind w:firstLine="519"/>
      </w:pPr>
      <w:r>
        <w:rPr>
          <w:rFonts w:hint="eastAsia"/>
          <w:b/>
          <w:bCs/>
        </w:rPr>
        <w:t>快速发展的太阳能光伏产业规模，加上行业活跃的创新活动，已使得美国光伏发电装机成本大幅降低。</w:t>
      </w:r>
      <w:r>
        <w:t>美国能源部劳伦斯伯克利国家实验室发布的《</w:t>
      </w:r>
      <w:r>
        <w:t>1998-2010</w:t>
      </w:r>
      <w:r>
        <w:t>年美国光伏系统装机成本概述》报告</w:t>
      </w:r>
      <w:r>
        <w:rPr>
          <w:rFonts w:hint="eastAsia"/>
        </w:rPr>
        <w:t>，</w:t>
      </w:r>
      <w:r>
        <w:t>考察了</w:t>
      </w:r>
      <w:r>
        <w:t>1998</w:t>
      </w:r>
      <w:r>
        <w:t>～</w:t>
      </w:r>
      <w:r>
        <w:t>2010</w:t>
      </w:r>
      <w:r>
        <w:t>年间美国</w:t>
      </w:r>
      <w:r>
        <w:t>42</w:t>
      </w:r>
      <w:r>
        <w:t>个州安装的</w:t>
      </w:r>
      <w:r>
        <w:t>115000</w:t>
      </w:r>
      <w:r>
        <w:t>个住宅、商用和公共光伏系统，占到全美并网光伏装机容量的</w:t>
      </w:r>
      <w:r>
        <w:t>78%</w:t>
      </w:r>
      <w:r>
        <w:t>。数据显示，</w:t>
      </w:r>
      <w:r>
        <w:t>2010</w:t>
      </w:r>
      <w:r>
        <w:t>年完成的住宅和商用太阳能光伏系统平均装机成本比</w:t>
      </w:r>
      <w:r>
        <w:t>2009</w:t>
      </w:r>
      <w:r>
        <w:t>年下降了</w:t>
      </w:r>
      <w:r>
        <w:t>17%</w:t>
      </w:r>
      <w:r>
        <w:t>，</w:t>
      </w:r>
      <w:r>
        <w:t>2011</w:t>
      </w:r>
      <w:r>
        <w:t>年上半年又在此基础上下降了</w:t>
      </w:r>
      <w:r>
        <w:t>11%</w:t>
      </w:r>
      <w:r>
        <w:t>。这一趋势部分是由于光伏组件价格的大幅降低，光伏组件批发价格自</w:t>
      </w:r>
      <w:r>
        <w:t>2008</w:t>
      </w:r>
      <w:r>
        <w:t>年以来急剧下降，上游成本削减已传导到用户端。</w:t>
      </w:r>
    </w:p>
    <w:p w:rsidR="00CA619C" w:rsidRDefault="00CA619C" w:rsidP="00CA619C">
      <w:pPr>
        <w:ind w:firstLine="480"/>
        <w:jc w:val="center"/>
        <w:rPr>
          <w:rFonts w:hint="eastAsia"/>
        </w:rPr>
      </w:pPr>
      <w:r>
        <w:rPr>
          <w:rFonts w:ascii="宋体" w:hAnsi="宋体"/>
          <w:noProof/>
          <w:lang w:eastAsia="en-US"/>
        </w:rPr>
        <w:drawing>
          <wp:inline distT="0" distB="0" distL="0" distR="0">
            <wp:extent cx="3768090" cy="1623695"/>
            <wp:effectExtent l="25400" t="25400" r="16510" b="27305"/>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8090" cy="1623695"/>
                    </a:xfrm>
                    <a:prstGeom prst="rect">
                      <a:avLst/>
                    </a:prstGeom>
                    <a:noFill/>
                    <a:ln w="6350" cmpd="sng">
                      <a:solidFill>
                        <a:srgbClr val="000000"/>
                      </a:solidFill>
                      <a:miter lim="800000"/>
                      <a:headEnd/>
                      <a:tailEnd/>
                    </a:ln>
                    <a:effectLst/>
                  </pic:spPr>
                </pic:pic>
              </a:graphicData>
            </a:graphic>
          </wp:inline>
        </w:drawing>
      </w:r>
      <w:r>
        <w:rPr>
          <w:rFonts w:ascii="宋体" w:hAnsi="宋体"/>
        </w:rPr>
        <w:t xml:space="preserve"> </w:t>
      </w:r>
    </w:p>
    <w:p w:rsidR="00CA619C" w:rsidRDefault="00CA619C" w:rsidP="00CA619C">
      <w:pPr>
        <w:pStyle w:val="a3"/>
        <w:tabs>
          <w:tab w:val="left" w:pos="425"/>
        </w:tabs>
        <w:rPr>
          <w:rFonts w:hint="eastAsia"/>
        </w:rPr>
      </w:pPr>
      <w:bookmarkStart w:id="35" w:name="_Toc392853203"/>
      <w:r>
        <w:rPr>
          <w:rFonts w:hint="eastAsia"/>
        </w:rPr>
        <w:t>美国所有连入电网光伏项目的平均装机成本（</w:t>
      </w:r>
      <w:r>
        <w:rPr>
          <w:rFonts w:hint="eastAsia"/>
        </w:rPr>
        <w:t>1998-2010</w:t>
      </w:r>
      <w:r>
        <w:rPr>
          <w:rFonts w:hint="eastAsia"/>
        </w:rPr>
        <w:t>年）</w:t>
      </w:r>
      <w:bookmarkEnd w:id="35"/>
    </w:p>
    <w:p w:rsidR="00CA619C" w:rsidRDefault="00CA619C" w:rsidP="00CA619C">
      <w:pPr>
        <w:ind w:firstLine="480"/>
        <w:rPr>
          <w:rFonts w:hint="eastAsia"/>
        </w:rPr>
      </w:pPr>
      <w:r>
        <w:rPr>
          <w:rFonts w:hint="eastAsia"/>
        </w:rPr>
        <w:t>1998</w:t>
      </w:r>
      <w:r>
        <w:rPr>
          <w:rFonts w:hint="eastAsia"/>
        </w:rPr>
        <w:t>～</w:t>
      </w:r>
      <w:r>
        <w:rPr>
          <w:rFonts w:hint="eastAsia"/>
        </w:rPr>
        <w:t>2010</w:t>
      </w:r>
      <w:r>
        <w:rPr>
          <w:rFonts w:hint="eastAsia"/>
        </w:rPr>
        <w:t>年期间，按照容量加权的住宅和商用光伏设备装机成本用</w:t>
      </w:r>
      <w:r>
        <w:rPr>
          <w:rFonts w:hint="eastAsia"/>
        </w:rPr>
        <w:t>2010</w:t>
      </w:r>
      <w:r>
        <w:rPr>
          <w:rFonts w:hint="eastAsia"/>
        </w:rPr>
        <w:t>年现值美元表示，从</w:t>
      </w:r>
      <w:r>
        <w:rPr>
          <w:rFonts w:hint="eastAsia"/>
        </w:rPr>
        <w:t>1998</w:t>
      </w:r>
      <w:r>
        <w:rPr>
          <w:rFonts w:hint="eastAsia"/>
        </w:rPr>
        <w:t>年的</w:t>
      </w:r>
      <w:r>
        <w:rPr>
          <w:rFonts w:hint="eastAsia"/>
        </w:rPr>
        <w:t>11</w:t>
      </w:r>
      <w:r>
        <w:rPr>
          <w:rFonts w:hint="eastAsia"/>
        </w:rPr>
        <w:t>美元</w:t>
      </w:r>
      <w:r>
        <w:rPr>
          <w:rFonts w:hint="eastAsia"/>
        </w:rPr>
        <w:t>/</w:t>
      </w:r>
      <w:r>
        <w:rPr>
          <w:rFonts w:hint="eastAsia"/>
        </w:rPr>
        <w:t>瓦下降到</w:t>
      </w:r>
      <w:r>
        <w:rPr>
          <w:rFonts w:hint="eastAsia"/>
        </w:rPr>
        <w:t>2010</w:t>
      </w:r>
      <w:r>
        <w:rPr>
          <w:rFonts w:hint="eastAsia"/>
        </w:rPr>
        <w:t>年的</w:t>
      </w:r>
      <w:r>
        <w:rPr>
          <w:rFonts w:hint="eastAsia"/>
        </w:rPr>
        <w:t>6.2</w:t>
      </w:r>
      <w:r>
        <w:rPr>
          <w:rFonts w:hint="eastAsia"/>
        </w:rPr>
        <w:t>美元</w:t>
      </w:r>
      <w:r>
        <w:rPr>
          <w:rFonts w:hint="eastAsia"/>
        </w:rPr>
        <w:t>/</w:t>
      </w:r>
      <w:r>
        <w:rPr>
          <w:rFonts w:hint="eastAsia"/>
        </w:rPr>
        <w:t>瓦，降幅达</w:t>
      </w:r>
      <w:r>
        <w:rPr>
          <w:rFonts w:hint="eastAsia"/>
        </w:rPr>
        <w:t>43%</w:t>
      </w:r>
      <w:r>
        <w:rPr>
          <w:rFonts w:hint="eastAsia"/>
        </w:rPr>
        <w:t>，年均下降</w:t>
      </w:r>
      <w:r>
        <w:rPr>
          <w:rFonts w:hint="eastAsia"/>
        </w:rPr>
        <w:t>0.4</w:t>
      </w:r>
      <w:r>
        <w:rPr>
          <w:rFonts w:hint="eastAsia"/>
        </w:rPr>
        <w:t>美元（</w:t>
      </w:r>
      <w:r>
        <w:rPr>
          <w:rFonts w:hint="eastAsia"/>
        </w:rPr>
        <w:t>4.6%</w:t>
      </w:r>
      <w:r>
        <w:rPr>
          <w:rFonts w:hint="eastAsia"/>
        </w:rPr>
        <w:t>）。第一次大幅下降出现在</w:t>
      </w:r>
      <w:r>
        <w:rPr>
          <w:rFonts w:hint="eastAsia"/>
        </w:rPr>
        <w:t>1998</w:t>
      </w:r>
      <w:r>
        <w:rPr>
          <w:rFonts w:hint="eastAsia"/>
        </w:rPr>
        <w:t>～</w:t>
      </w:r>
      <w:r>
        <w:rPr>
          <w:rFonts w:hint="eastAsia"/>
        </w:rPr>
        <w:t>2005</w:t>
      </w:r>
      <w:r>
        <w:rPr>
          <w:rFonts w:hint="eastAsia"/>
        </w:rPr>
        <w:t>年；而</w:t>
      </w:r>
      <w:r>
        <w:rPr>
          <w:rFonts w:hint="eastAsia"/>
        </w:rPr>
        <w:t>2005</w:t>
      </w:r>
      <w:r>
        <w:rPr>
          <w:rFonts w:hint="eastAsia"/>
        </w:rPr>
        <w:t>～</w:t>
      </w:r>
      <w:r>
        <w:rPr>
          <w:rFonts w:hint="eastAsia"/>
        </w:rPr>
        <w:t>2009</w:t>
      </w:r>
      <w:r>
        <w:rPr>
          <w:rFonts w:hint="eastAsia"/>
        </w:rPr>
        <w:t>年却停滞不前；直到</w:t>
      </w:r>
      <w:r>
        <w:rPr>
          <w:rFonts w:hint="eastAsia"/>
        </w:rPr>
        <w:t>2010</w:t>
      </w:r>
      <w:r>
        <w:rPr>
          <w:rFonts w:hint="eastAsia"/>
        </w:rPr>
        <w:t>年，平均装机成本才相比上一年大幅下降</w:t>
      </w:r>
      <w:r>
        <w:rPr>
          <w:rFonts w:hint="eastAsia"/>
        </w:rPr>
        <w:t>1.3</w:t>
      </w:r>
      <w:r>
        <w:rPr>
          <w:rFonts w:hint="eastAsia"/>
        </w:rPr>
        <w:t>美元（</w:t>
      </w:r>
      <w:r>
        <w:rPr>
          <w:rFonts w:hint="eastAsia"/>
        </w:rPr>
        <w:t>17%</w:t>
      </w:r>
      <w:r>
        <w:rPr>
          <w:rFonts w:hint="eastAsia"/>
        </w:rPr>
        <w:t>）。</w:t>
      </w:r>
    </w:p>
    <w:p w:rsidR="00CA619C" w:rsidRDefault="00CA619C" w:rsidP="00CA619C">
      <w:pPr>
        <w:ind w:firstLine="480"/>
        <w:rPr>
          <w:rFonts w:hint="eastAsia"/>
        </w:rPr>
      </w:pPr>
      <w:r>
        <w:rPr>
          <w:rFonts w:hint="eastAsia"/>
        </w:rPr>
        <w:t>2010</w:t>
      </w:r>
      <w:r>
        <w:rPr>
          <w:rFonts w:hint="eastAsia"/>
        </w:rPr>
        <w:t>年公用光伏系统装机成本差别较大，由于不同的项目规模、系统配置以及单个项目的特性，大于</w:t>
      </w:r>
      <w:r>
        <w:rPr>
          <w:rFonts w:hint="eastAsia"/>
        </w:rPr>
        <w:t>5000</w:t>
      </w:r>
      <w:r>
        <w:rPr>
          <w:rFonts w:hint="eastAsia"/>
        </w:rPr>
        <w:t>千瓦的光伏系统装机成本在</w:t>
      </w:r>
      <w:r>
        <w:rPr>
          <w:rFonts w:hint="eastAsia"/>
        </w:rPr>
        <w:t>2.9</w:t>
      </w:r>
      <w:r>
        <w:rPr>
          <w:rFonts w:hint="eastAsia"/>
        </w:rPr>
        <w:t>～</w:t>
      </w:r>
      <w:r>
        <w:rPr>
          <w:rFonts w:hint="eastAsia"/>
        </w:rPr>
        <w:t>6.2</w:t>
      </w:r>
      <w:r>
        <w:rPr>
          <w:rFonts w:hint="eastAsia"/>
        </w:rPr>
        <w:t>美元</w:t>
      </w:r>
      <w:r>
        <w:rPr>
          <w:rFonts w:hint="eastAsia"/>
        </w:rPr>
        <w:t>/</w:t>
      </w:r>
      <w:r>
        <w:rPr>
          <w:rFonts w:hint="eastAsia"/>
        </w:rPr>
        <w:t>瓦之间。伴随着持续的成本降低，目前大规模公共光伏系统项目装机成本基准在</w:t>
      </w:r>
      <w:r>
        <w:rPr>
          <w:rFonts w:hint="eastAsia"/>
        </w:rPr>
        <w:t>3.8</w:t>
      </w:r>
      <w:r>
        <w:rPr>
          <w:rFonts w:hint="eastAsia"/>
        </w:rPr>
        <w:t>～</w:t>
      </w:r>
      <w:r>
        <w:rPr>
          <w:rFonts w:hint="eastAsia"/>
        </w:rPr>
        <w:t>4.4</w:t>
      </w:r>
      <w:r>
        <w:rPr>
          <w:rFonts w:hint="eastAsia"/>
        </w:rPr>
        <w:t>美元</w:t>
      </w:r>
      <w:r>
        <w:rPr>
          <w:rFonts w:hint="eastAsia"/>
        </w:rPr>
        <w:t>/</w:t>
      </w:r>
      <w:r>
        <w:rPr>
          <w:rFonts w:hint="eastAsia"/>
        </w:rPr>
        <w:t>瓦之间。</w:t>
      </w:r>
    </w:p>
    <w:p w:rsidR="00CA619C" w:rsidRDefault="00CA619C" w:rsidP="00CA619C">
      <w:pPr>
        <w:ind w:firstLine="480"/>
        <w:rPr>
          <w:rFonts w:hint="eastAsia"/>
        </w:rPr>
      </w:pPr>
      <w:r>
        <w:rPr>
          <w:rFonts w:hint="eastAsia"/>
        </w:rPr>
        <w:t>报告指出，</w:t>
      </w:r>
      <w:r>
        <w:rPr>
          <w:rFonts w:hint="eastAsia"/>
        </w:rPr>
        <w:t>2009</w:t>
      </w:r>
      <w:r>
        <w:rPr>
          <w:rFonts w:hint="eastAsia"/>
        </w:rPr>
        <w:t>～</w:t>
      </w:r>
      <w:r>
        <w:rPr>
          <w:rFonts w:hint="eastAsia"/>
        </w:rPr>
        <w:t>2010</w:t>
      </w:r>
      <w:r>
        <w:rPr>
          <w:rFonts w:hint="eastAsia"/>
        </w:rPr>
        <w:t>年，住宅和商用系统的非组件成本（包括劳动力、市场营销、逆变器和系统平衡成本）平均下降近</w:t>
      </w:r>
      <w:r>
        <w:rPr>
          <w:rFonts w:hint="eastAsia"/>
        </w:rPr>
        <w:t>18%</w:t>
      </w:r>
      <w:r>
        <w:rPr>
          <w:rFonts w:hint="eastAsia"/>
        </w:rPr>
        <w:t>。相比于改造房或现房，安置于新房的住宅光伏系统花费的成本较低。在</w:t>
      </w:r>
      <w:r>
        <w:rPr>
          <w:rFonts w:hint="eastAsia"/>
        </w:rPr>
        <w:t>2010</w:t>
      </w:r>
      <w:r>
        <w:rPr>
          <w:rFonts w:hint="eastAsia"/>
        </w:rPr>
        <w:t>年安装的小于</w:t>
      </w:r>
      <w:r>
        <w:rPr>
          <w:rFonts w:hint="eastAsia"/>
        </w:rPr>
        <w:t>10</w:t>
      </w:r>
      <w:r>
        <w:rPr>
          <w:rFonts w:hint="eastAsia"/>
        </w:rPr>
        <w:t>千瓦光伏系统的平均成本，根据各州情况不同从每瓦</w:t>
      </w:r>
      <w:r>
        <w:rPr>
          <w:rFonts w:hint="eastAsia"/>
        </w:rPr>
        <w:t>6.30</w:t>
      </w:r>
      <w:r>
        <w:rPr>
          <w:rFonts w:hint="eastAsia"/>
        </w:rPr>
        <w:t>美元至</w:t>
      </w:r>
      <w:r>
        <w:rPr>
          <w:rFonts w:hint="eastAsia"/>
        </w:rPr>
        <w:t>8.40</w:t>
      </w:r>
      <w:r>
        <w:rPr>
          <w:rFonts w:hint="eastAsia"/>
        </w:rPr>
        <w:t>美元不等；而小于</w:t>
      </w:r>
      <w:r>
        <w:rPr>
          <w:rFonts w:hint="eastAsia"/>
        </w:rPr>
        <w:t>2</w:t>
      </w:r>
      <w:r>
        <w:rPr>
          <w:rFonts w:hint="eastAsia"/>
        </w:rPr>
        <w:t>千瓦的系统平均成本每瓦</w:t>
      </w:r>
      <w:r>
        <w:rPr>
          <w:rFonts w:hint="eastAsia"/>
        </w:rPr>
        <w:t>9.80</w:t>
      </w:r>
      <w:r>
        <w:rPr>
          <w:rFonts w:hint="eastAsia"/>
        </w:rPr>
        <w:t>美元。因此，从经济考虑，安装规模越大，单位装机成本就越低。该报告还显示，州和公用事业光伏激励项目提供的直接现金激励在</w:t>
      </w:r>
      <w:r>
        <w:rPr>
          <w:rFonts w:hint="eastAsia"/>
        </w:rPr>
        <w:t>2002</w:t>
      </w:r>
      <w:r>
        <w:rPr>
          <w:rFonts w:hint="eastAsia"/>
        </w:rPr>
        <w:t>年达到峰值，之后不断下滑。</w:t>
      </w:r>
      <w:r>
        <w:rPr>
          <w:rFonts w:hint="eastAsia"/>
        </w:rPr>
        <w:t>2010</w:t>
      </w:r>
      <w:r>
        <w:rPr>
          <w:rFonts w:hint="eastAsia"/>
        </w:rPr>
        <w:t>年联邦投资税收抵免政策（</w:t>
      </w:r>
      <w:r>
        <w:rPr>
          <w:rFonts w:hint="eastAsia"/>
        </w:rPr>
        <w:t>ITC</w:t>
      </w:r>
      <w:r>
        <w:rPr>
          <w:rFonts w:hint="eastAsia"/>
        </w:rPr>
        <w:t>）以及代替</w:t>
      </w:r>
      <w:r>
        <w:rPr>
          <w:rFonts w:hint="eastAsia"/>
        </w:rPr>
        <w:t>ITC</w:t>
      </w:r>
      <w:r>
        <w:rPr>
          <w:rFonts w:hint="eastAsia"/>
        </w:rPr>
        <w:t>的财政部拨款补贴，基于装机成本的百分比给予补贴因平均装机成本减少而削减。因此，不考虑补贴时，住宅和商用光伏系统的装机成本分别下降</w:t>
      </w:r>
      <w:r>
        <w:rPr>
          <w:rFonts w:hint="eastAsia"/>
        </w:rPr>
        <w:t>1</w:t>
      </w:r>
      <w:r>
        <w:rPr>
          <w:rFonts w:hint="eastAsia"/>
        </w:rPr>
        <w:t>美元</w:t>
      </w:r>
      <w:r>
        <w:rPr>
          <w:rFonts w:hint="eastAsia"/>
        </w:rPr>
        <w:t>/</w:t>
      </w:r>
      <w:r>
        <w:rPr>
          <w:rFonts w:hint="eastAsia"/>
        </w:rPr>
        <w:t>瓦和</w:t>
      </w:r>
      <w:r>
        <w:rPr>
          <w:rFonts w:hint="eastAsia"/>
        </w:rPr>
        <w:t>1.5</w:t>
      </w:r>
      <w:r>
        <w:rPr>
          <w:rFonts w:hint="eastAsia"/>
        </w:rPr>
        <w:t>美元</w:t>
      </w:r>
      <w:r>
        <w:rPr>
          <w:rFonts w:hint="eastAsia"/>
        </w:rPr>
        <w:t>/</w:t>
      </w:r>
      <w:r>
        <w:rPr>
          <w:rFonts w:hint="eastAsia"/>
        </w:rPr>
        <w:t>瓦，而考虑补贴的减少，住宅和商用光伏系统的装机成本分别实际下降</w:t>
      </w:r>
      <w:r>
        <w:rPr>
          <w:rFonts w:hint="eastAsia"/>
        </w:rPr>
        <w:t>0.4</w:t>
      </w:r>
      <w:r>
        <w:rPr>
          <w:rFonts w:hint="eastAsia"/>
        </w:rPr>
        <w:t>美元</w:t>
      </w:r>
      <w:r>
        <w:rPr>
          <w:rFonts w:hint="eastAsia"/>
        </w:rPr>
        <w:t>/</w:t>
      </w:r>
      <w:r>
        <w:rPr>
          <w:rFonts w:hint="eastAsia"/>
        </w:rPr>
        <w:t>瓦和</w:t>
      </w:r>
      <w:r>
        <w:rPr>
          <w:rFonts w:hint="eastAsia"/>
        </w:rPr>
        <w:t>0.8</w:t>
      </w:r>
      <w:r>
        <w:rPr>
          <w:rFonts w:hint="eastAsia"/>
        </w:rPr>
        <w:t>美元</w:t>
      </w:r>
      <w:r>
        <w:rPr>
          <w:rFonts w:hint="eastAsia"/>
        </w:rPr>
        <w:t>/</w:t>
      </w:r>
      <w:r>
        <w:rPr>
          <w:rFonts w:hint="eastAsia"/>
        </w:rPr>
        <w:t>瓦。</w:t>
      </w:r>
    </w:p>
    <w:p w:rsidR="00CA619C" w:rsidRDefault="00CA619C" w:rsidP="00CA619C">
      <w:pPr>
        <w:pStyle w:val="Heading4"/>
        <w:tabs>
          <w:tab w:val="left" w:pos="864"/>
        </w:tabs>
        <w:rPr>
          <w:rFonts w:hint="eastAsia"/>
        </w:rPr>
      </w:pPr>
      <w:r>
        <w:rPr>
          <w:rFonts w:hint="eastAsia"/>
        </w:rPr>
        <w:t>世界光伏技术水平</w:t>
      </w:r>
    </w:p>
    <w:p w:rsidR="00CA619C" w:rsidRDefault="00CA619C" w:rsidP="00CA619C">
      <w:pPr>
        <w:ind w:firstLine="480"/>
        <w:rPr>
          <w:rFonts w:hint="eastAsia"/>
        </w:rPr>
      </w:pPr>
      <w:r>
        <w:rPr>
          <w:rFonts w:hint="eastAsia"/>
        </w:rPr>
        <w:t>目前全球光伏市场供过于求的大背景下，技术突破显得尤为迫切。传统光伏技术遇到转换效率的瓶颈，非硅成本下降空间有限，高效电池技术在设计和材料选择上的突破，使非硅成本有较大下降空间；光伏产品转换效率的提升可以直接降低系统平衡成本，组件效率每提高一个百分点，系统平衡成本可下降</w:t>
      </w:r>
      <w:r>
        <w:rPr>
          <w:rFonts w:hint="eastAsia"/>
        </w:rPr>
        <w:t>5</w:t>
      </w:r>
      <w:r>
        <w:rPr>
          <w:rFonts w:hint="eastAsia"/>
        </w:rPr>
        <w:t>到</w:t>
      </w:r>
      <w:r>
        <w:rPr>
          <w:rFonts w:hint="eastAsia"/>
        </w:rPr>
        <w:t>7</w:t>
      </w:r>
      <w:r>
        <w:rPr>
          <w:rFonts w:hint="eastAsia"/>
        </w:rPr>
        <w:t>个百分点。以美国</w:t>
      </w:r>
      <w:r>
        <w:rPr>
          <w:rFonts w:hint="eastAsia"/>
        </w:rPr>
        <w:t>SunPower</w:t>
      </w:r>
      <w:r>
        <w:rPr>
          <w:rFonts w:hint="eastAsia"/>
        </w:rPr>
        <w:t>和日本</w:t>
      </w:r>
      <w:r>
        <w:rPr>
          <w:rFonts w:hint="eastAsia"/>
        </w:rPr>
        <w:t>Panasonic</w:t>
      </w:r>
      <w:r>
        <w:rPr>
          <w:rFonts w:hint="eastAsia"/>
        </w:rPr>
        <w:t>为代表的高效电池组件制造商的光伏产品效率已达到</w:t>
      </w:r>
      <w:r>
        <w:rPr>
          <w:rFonts w:hint="eastAsia"/>
        </w:rPr>
        <w:t>24%</w:t>
      </w:r>
      <w:r>
        <w:rPr>
          <w:rFonts w:hint="eastAsia"/>
        </w:rPr>
        <w:t>，国内的电池组件商也在积极开发高效光伏产品。全球</w:t>
      </w:r>
      <w:r>
        <w:rPr>
          <w:rFonts w:hint="eastAsia"/>
        </w:rPr>
        <w:t>P</w:t>
      </w:r>
      <w:r>
        <w:rPr>
          <w:rFonts w:hint="eastAsia"/>
        </w:rPr>
        <w:t>型、</w:t>
      </w:r>
      <w:r>
        <w:rPr>
          <w:rFonts w:hint="eastAsia"/>
        </w:rPr>
        <w:t>N</w:t>
      </w:r>
      <w:r>
        <w:rPr>
          <w:rFonts w:hint="eastAsia"/>
        </w:rPr>
        <w:t>型单晶电池效率已分别达到</w:t>
      </w:r>
      <w:r>
        <w:rPr>
          <w:rFonts w:hint="eastAsia"/>
        </w:rPr>
        <w:t>18.5%</w:t>
      </w:r>
      <w:r>
        <w:rPr>
          <w:rFonts w:hint="eastAsia"/>
        </w:rPr>
        <w:t>—</w:t>
      </w:r>
      <w:r>
        <w:rPr>
          <w:rFonts w:hint="eastAsia"/>
        </w:rPr>
        <w:t>20%</w:t>
      </w:r>
      <w:r>
        <w:rPr>
          <w:rFonts w:hint="eastAsia"/>
        </w:rPr>
        <w:t>和</w:t>
      </w:r>
      <w:r>
        <w:rPr>
          <w:rFonts w:hint="eastAsia"/>
        </w:rPr>
        <w:t>21%-24%</w:t>
      </w:r>
      <w:r>
        <w:rPr>
          <w:rFonts w:hint="eastAsia"/>
        </w:rPr>
        <w:t>，多晶电池效率达到</w:t>
      </w:r>
      <w:r>
        <w:rPr>
          <w:rFonts w:hint="eastAsia"/>
        </w:rPr>
        <w:t>17%-17.5%</w:t>
      </w:r>
      <w:r>
        <w:rPr>
          <w:rFonts w:hint="eastAsia"/>
        </w:rPr>
        <w:t>。随着高效单晶、多晶技术的不断探索与应用，其成本不断下降，目前高效单晶组件产品的成本已低于传统单晶组件产品，但还高于多晶产品。高效电池技术在全球范围内蓄势待发，这将是下一轮产业扩张时的投资热点。</w:t>
      </w:r>
    </w:p>
    <w:p w:rsidR="00CA619C" w:rsidRDefault="00CA619C" w:rsidP="00CA619C">
      <w:pPr>
        <w:ind w:firstLine="480"/>
        <w:rPr>
          <w:rFonts w:hint="eastAsia"/>
        </w:rPr>
      </w:pPr>
      <w:r>
        <w:rPr>
          <w:rFonts w:hint="eastAsia"/>
        </w:rPr>
        <w:t>目前，世界光伏电池技术主要朝着三个方向发展：</w:t>
      </w:r>
    </w:p>
    <w:p w:rsidR="00CA619C" w:rsidRDefault="00CA619C" w:rsidP="00CA619C">
      <w:pPr>
        <w:ind w:firstLine="480"/>
        <w:rPr>
          <w:rFonts w:hint="eastAsia"/>
        </w:rPr>
      </w:pPr>
      <w:r>
        <w:rPr>
          <w:rFonts w:hint="eastAsia"/>
        </w:rPr>
        <w:t>一是晶硅电池仍是当前世界光伏电池市场主导产品，并且近几年不可能被其他产品取代。晶硅电池转换效率相对高，价格便宜，性能相对稳定，市场上占有优势。因此，各国企业科研机构，一方面仍大量投入研究晶硅提纯技术、工艺，以提高电池转换效率，提高自动化水平，减少能源、材料消耗，对生产中间的辅助材料循环再利用减少污染排放。另一方面研究切割技术，晶硅电池逐年减薄，减少材料的利用浪费，以降低产品成本，提高市场竞争力。</w:t>
      </w:r>
    </w:p>
    <w:p w:rsidR="00CA619C" w:rsidRDefault="00CA619C" w:rsidP="00CA619C">
      <w:pPr>
        <w:ind w:firstLine="480"/>
        <w:rPr>
          <w:rFonts w:hint="eastAsia"/>
        </w:rPr>
      </w:pPr>
      <w:r>
        <w:rPr>
          <w:rFonts w:hint="eastAsia"/>
        </w:rPr>
        <w:t>二是薄膜电池种类繁多，以碲化镉、铜铟镓硒、非晶硅为代表的薄膜电池，其转换效率低于晶硅电池，但薄膜电池能源、材料消耗少，价格和晶硅电池相比优势明显。各国生产企业、科研机构都在积极改进薄膜电池的材料、工艺，待规模提高，性能稳定。非晶硅薄膜电池标准设备组件的推出和双层、叠层镀膜技术的日趋成熟，促使非晶硅薄膜电池市场迅速扩大，成为晶硅电池的主要竞争产品；碲化镉电池方面，</w:t>
      </w:r>
      <w:r>
        <w:rPr>
          <w:rFonts w:hint="eastAsia"/>
        </w:rPr>
        <w:t>Firstsolar</w:t>
      </w:r>
      <w:r>
        <w:rPr>
          <w:rFonts w:hint="eastAsia"/>
        </w:rPr>
        <w:t>采用设备与技术一体化战略，不对外转让设备和生产工艺，并且建立良好的产品回收机制，打消了社会对污染的顾虑。使得</w:t>
      </w:r>
      <w:r>
        <w:rPr>
          <w:rFonts w:hint="eastAsia"/>
        </w:rPr>
        <w:t>Firstsolar2009</w:t>
      </w:r>
      <w:r>
        <w:rPr>
          <w:rFonts w:hint="eastAsia"/>
        </w:rPr>
        <w:t>年碲化镉薄膜太阳能电池产量达到</w:t>
      </w:r>
      <w:r>
        <w:rPr>
          <w:rFonts w:hint="eastAsia"/>
        </w:rPr>
        <w:t>1.1GW</w:t>
      </w:r>
      <w:r>
        <w:rPr>
          <w:rFonts w:hint="eastAsia"/>
        </w:rPr>
        <w:t>，跃居成为全球第一大太阳能电池制造商；铜铟镓硒薄膜电池实验室最高转换效率为</w:t>
      </w:r>
      <w:r>
        <w:rPr>
          <w:rFonts w:hint="eastAsia"/>
        </w:rPr>
        <w:t>19.9%</w:t>
      </w:r>
      <w:r>
        <w:rPr>
          <w:rFonts w:hint="eastAsia"/>
        </w:rPr>
        <w:t>，被称为最有前景的薄膜电池技术，但是其复杂的多层结构和敏感的元素配比，工艺和设备尚未达到商业化运营的要求。</w:t>
      </w:r>
    </w:p>
    <w:p w:rsidR="00CA619C" w:rsidRDefault="00CA619C" w:rsidP="00CA619C">
      <w:pPr>
        <w:ind w:firstLine="480"/>
        <w:rPr>
          <w:rFonts w:hint="eastAsia"/>
        </w:rPr>
      </w:pPr>
      <w:r>
        <w:rPr>
          <w:rFonts w:hint="eastAsia"/>
        </w:rPr>
        <w:t>三是聚光光伏电池采用砷化镓太阳电池和太阳能跟踪系统，电池转换效率达到</w:t>
      </w:r>
      <w:r>
        <w:rPr>
          <w:rFonts w:hint="eastAsia"/>
        </w:rPr>
        <w:t>40%</w:t>
      </w:r>
      <w:r>
        <w:rPr>
          <w:rFonts w:hint="eastAsia"/>
        </w:rPr>
        <w:t>，成本约</w:t>
      </w:r>
      <w:r>
        <w:rPr>
          <w:rFonts w:hint="eastAsia"/>
        </w:rPr>
        <w:t>3~4</w:t>
      </w:r>
      <w:r>
        <w:rPr>
          <w:rFonts w:hint="eastAsia"/>
        </w:rPr>
        <w:t>美元</w:t>
      </w:r>
      <w:r>
        <w:rPr>
          <w:rFonts w:hint="eastAsia"/>
        </w:rPr>
        <w:t>/Wp</w:t>
      </w:r>
      <w:r>
        <w:rPr>
          <w:rFonts w:hint="eastAsia"/>
        </w:rPr>
        <w:t>。该系统占地较大适合用于发电站，聚光电池技术结合光学、控制、机械等多种学科技术，研发投入较高。作为由实验室走向工程化的新技术，产业链尚未形成，技术路线有待突破。</w:t>
      </w:r>
    </w:p>
    <w:p w:rsidR="00CA619C" w:rsidRDefault="00CA619C" w:rsidP="00CA619C">
      <w:pPr>
        <w:pStyle w:val="Heading3"/>
        <w:numPr>
          <w:ilvl w:val="2"/>
          <w:numId w:val="1"/>
        </w:numPr>
        <w:tabs>
          <w:tab w:val="clear" w:pos="720"/>
        </w:tabs>
        <w:rPr>
          <w:rFonts w:hint="eastAsia"/>
        </w:rPr>
      </w:pPr>
      <w:bookmarkStart w:id="36" w:name="_Toc392853114"/>
      <w:r>
        <w:rPr>
          <w:rFonts w:hint="eastAsia"/>
        </w:rPr>
        <w:t>中国光伏产业现状与技术水平</w:t>
      </w:r>
      <w:bookmarkEnd w:id="36"/>
    </w:p>
    <w:p w:rsidR="00CA619C" w:rsidRDefault="00CA619C" w:rsidP="00CA619C">
      <w:pPr>
        <w:pStyle w:val="Heading4"/>
        <w:tabs>
          <w:tab w:val="left" w:pos="864"/>
        </w:tabs>
        <w:rPr>
          <w:rFonts w:hint="eastAsia"/>
        </w:rPr>
      </w:pPr>
      <w:r>
        <w:rPr>
          <w:rFonts w:hint="eastAsia"/>
        </w:rPr>
        <w:t>中国光伏产业现状</w:t>
      </w:r>
    </w:p>
    <w:p w:rsidR="00CA619C" w:rsidRDefault="00CA619C" w:rsidP="00CA619C">
      <w:pPr>
        <w:ind w:firstLine="480"/>
        <w:rPr>
          <w:rFonts w:hint="eastAsia"/>
        </w:rPr>
      </w:pPr>
      <w:r>
        <w:rPr>
          <w:rFonts w:hint="eastAsia"/>
        </w:rPr>
        <w:t>受《可再生能源法》的鼓励，同时也得益于国际市场的拉动，我国的光伏电池制造业在</w:t>
      </w:r>
      <w:r>
        <w:rPr>
          <w:rFonts w:hint="eastAsia"/>
        </w:rPr>
        <w:t>2004</w:t>
      </w:r>
      <w:r>
        <w:rPr>
          <w:rFonts w:hint="eastAsia"/>
        </w:rPr>
        <w:t>年后飞速发展，开始大量出口，产能和产量也大幅增加，目前已成为世界光伏制造的中心。并且在经理欧美国家反倾销与反补贴调查而陷入冰冻期之后，经过一系列整合，目前中国光伏产业已逐步回暖，部分企业开始扭亏。</w:t>
      </w:r>
    </w:p>
    <w:p w:rsidR="00CA619C" w:rsidRDefault="00CA619C" w:rsidP="00CA619C">
      <w:pPr>
        <w:ind w:firstLine="480"/>
        <w:rPr>
          <w:rFonts w:hint="eastAsia"/>
        </w:rPr>
      </w:pPr>
      <w:r>
        <w:rPr>
          <w:rFonts w:hint="eastAsia"/>
        </w:rPr>
        <w:t>目前，我国多晶硅和太阳能光伏电池级组件产业规模已实现稳步增长，光伏市场规模迅速扩大。</w:t>
      </w:r>
      <w:r>
        <w:rPr>
          <w:rFonts w:hint="eastAsia"/>
        </w:rPr>
        <w:t>2008</w:t>
      </w:r>
      <w:r>
        <w:rPr>
          <w:rFonts w:hint="eastAsia"/>
        </w:rPr>
        <w:t>年，我国多晶硅产量仅</w:t>
      </w:r>
      <w:r>
        <w:rPr>
          <w:rFonts w:hint="eastAsia"/>
        </w:rPr>
        <w:t>4</w:t>
      </w:r>
      <w:r>
        <w:rPr>
          <w:rFonts w:hint="eastAsia"/>
        </w:rPr>
        <w:t>千多吨，太阳能电池产量</w:t>
      </w:r>
      <w:r>
        <w:rPr>
          <w:rFonts w:hint="eastAsia"/>
        </w:rPr>
        <w:t>2.5GW</w:t>
      </w:r>
      <w:r>
        <w:rPr>
          <w:rFonts w:hint="eastAsia"/>
        </w:rPr>
        <w:t>，光伏装机量近</w:t>
      </w:r>
      <w:r>
        <w:rPr>
          <w:rFonts w:hint="eastAsia"/>
        </w:rPr>
        <w:t>40MW</w:t>
      </w:r>
      <w:r>
        <w:rPr>
          <w:rFonts w:hint="eastAsia"/>
        </w:rPr>
        <w:t>。而根据</w:t>
      </w:r>
      <w:r>
        <w:rPr>
          <w:rFonts w:hint="eastAsia"/>
        </w:rPr>
        <w:t>SEMI</w:t>
      </w:r>
      <w:r>
        <w:rPr>
          <w:rFonts w:hint="eastAsia"/>
        </w:rPr>
        <w:t>发布的数据，</w:t>
      </w:r>
      <w:r>
        <w:rPr>
          <w:rFonts w:hint="eastAsia"/>
        </w:rPr>
        <w:t>2012</w:t>
      </w:r>
      <w:r>
        <w:rPr>
          <w:rFonts w:hint="eastAsia"/>
        </w:rPr>
        <w:t>年，中国的多晶硅产能已达到</w:t>
      </w:r>
      <w:r>
        <w:rPr>
          <w:rFonts w:hint="eastAsia"/>
        </w:rPr>
        <w:t>15.8</w:t>
      </w:r>
      <w:r>
        <w:rPr>
          <w:rFonts w:hint="eastAsia"/>
        </w:rPr>
        <w:t>万</w:t>
      </w:r>
      <w:r>
        <w:rPr>
          <w:rFonts w:hint="eastAsia"/>
        </w:rPr>
        <w:t>MT</w:t>
      </w:r>
      <w:r>
        <w:rPr>
          <w:rFonts w:hint="eastAsia"/>
        </w:rPr>
        <w:t>，占全球的</w:t>
      </w:r>
      <w:r>
        <w:rPr>
          <w:rFonts w:hint="eastAsia"/>
        </w:rPr>
        <w:t>43%</w:t>
      </w:r>
      <w:r>
        <w:rPr>
          <w:rFonts w:hint="eastAsia"/>
        </w:rPr>
        <w:t>，产量为</w:t>
      </w:r>
      <w:r>
        <w:rPr>
          <w:rFonts w:hint="eastAsia"/>
        </w:rPr>
        <w:t>6.9</w:t>
      </w:r>
      <w:r>
        <w:rPr>
          <w:rFonts w:hint="eastAsia"/>
        </w:rPr>
        <w:t>万</w:t>
      </w:r>
      <w:r>
        <w:rPr>
          <w:rFonts w:hint="eastAsia"/>
        </w:rPr>
        <w:t>MT</w:t>
      </w:r>
      <w:r>
        <w:rPr>
          <w:rFonts w:hint="eastAsia"/>
        </w:rPr>
        <w:t>，占全球的</w:t>
      </w:r>
      <w:r>
        <w:rPr>
          <w:rFonts w:hint="eastAsia"/>
        </w:rPr>
        <w:t>32%</w:t>
      </w:r>
      <w:r>
        <w:rPr>
          <w:rFonts w:hint="eastAsia"/>
        </w:rPr>
        <w:t>；光伏组件产能达到</w:t>
      </w:r>
      <w:r>
        <w:rPr>
          <w:rFonts w:hint="eastAsia"/>
        </w:rPr>
        <w:t>37GW</w:t>
      </w:r>
      <w:r>
        <w:rPr>
          <w:rFonts w:hint="eastAsia"/>
        </w:rPr>
        <w:t>，占全球的</w:t>
      </w:r>
      <w:r>
        <w:rPr>
          <w:rFonts w:hint="eastAsia"/>
        </w:rPr>
        <w:t>51%</w:t>
      </w:r>
      <w:r>
        <w:rPr>
          <w:rFonts w:hint="eastAsia"/>
        </w:rPr>
        <w:t>，产量为</w:t>
      </w:r>
      <w:r>
        <w:rPr>
          <w:rFonts w:hint="eastAsia"/>
        </w:rPr>
        <w:t>22GW</w:t>
      </w:r>
      <w:r>
        <w:rPr>
          <w:rFonts w:hint="eastAsia"/>
        </w:rPr>
        <w:t>，占全球的</w:t>
      </w:r>
      <w:r>
        <w:rPr>
          <w:rFonts w:hint="eastAsia"/>
        </w:rPr>
        <w:t>54%</w:t>
      </w:r>
      <w:r>
        <w:rPr>
          <w:rFonts w:hint="eastAsia"/>
        </w:rPr>
        <w:t>。据原电监会公布的数据，截至</w:t>
      </w:r>
      <w:r>
        <w:rPr>
          <w:rFonts w:hint="eastAsia"/>
        </w:rPr>
        <w:t>2012</w:t>
      </w:r>
      <w:r>
        <w:rPr>
          <w:rFonts w:hint="eastAsia"/>
        </w:rPr>
        <w:t>年底，我国新增光伏发电装机容量</w:t>
      </w:r>
      <w:r>
        <w:rPr>
          <w:rFonts w:hint="eastAsia"/>
        </w:rPr>
        <w:t>400</w:t>
      </w:r>
      <w:r>
        <w:rPr>
          <w:rFonts w:hint="eastAsia"/>
        </w:rPr>
        <w:t>万千瓦，达到</w:t>
      </w:r>
      <w:r>
        <w:rPr>
          <w:rFonts w:hint="eastAsia"/>
        </w:rPr>
        <w:t>700</w:t>
      </w:r>
      <w:r>
        <w:rPr>
          <w:rFonts w:hint="eastAsia"/>
        </w:rPr>
        <w:t>万千瓦。其中并网装机容量达到</w:t>
      </w:r>
      <w:r>
        <w:rPr>
          <w:rFonts w:hint="eastAsia"/>
        </w:rPr>
        <w:t>328</w:t>
      </w:r>
      <w:r>
        <w:rPr>
          <w:rFonts w:hint="eastAsia"/>
        </w:rPr>
        <w:t>万千瓦。</w:t>
      </w:r>
      <w:r>
        <w:rPr>
          <w:rFonts w:hint="eastAsia"/>
        </w:rPr>
        <w:t>2012</w:t>
      </w:r>
      <w:r>
        <w:rPr>
          <w:rFonts w:hint="eastAsia"/>
        </w:rPr>
        <w:t>年中国光伏制造的产能</w:t>
      </w:r>
      <w:r>
        <w:rPr>
          <w:rFonts w:hint="eastAsia"/>
        </w:rPr>
        <w:t>/</w:t>
      </w:r>
      <w:r>
        <w:rPr>
          <w:rFonts w:hint="eastAsia"/>
        </w:rPr>
        <w:t>安装量比值为</w:t>
      </w:r>
      <w:r>
        <w:rPr>
          <w:rFonts w:hint="eastAsia"/>
        </w:rPr>
        <w:t>10.5</w:t>
      </w:r>
      <w:r>
        <w:rPr>
          <w:rFonts w:hint="eastAsia"/>
        </w:rPr>
        <w:t>，高出全球平均水平的</w:t>
      </w:r>
      <w:r>
        <w:rPr>
          <w:rFonts w:hint="eastAsia"/>
        </w:rPr>
        <w:t>4</w:t>
      </w:r>
      <w:r>
        <w:rPr>
          <w:rFonts w:hint="eastAsia"/>
        </w:rPr>
        <w:t>倍。</w:t>
      </w:r>
      <w:r>
        <w:rPr>
          <w:rFonts w:hint="eastAsia"/>
        </w:rPr>
        <w:t>2013</w:t>
      </w:r>
      <w:r>
        <w:rPr>
          <w:rFonts w:hint="eastAsia"/>
        </w:rPr>
        <w:t>年上半年约</w:t>
      </w:r>
      <w:r>
        <w:rPr>
          <w:rFonts w:hint="eastAsia"/>
        </w:rPr>
        <w:t>2.8GW</w:t>
      </w:r>
      <w:r>
        <w:rPr>
          <w:rFonts w:hint="eastAsia"/>
        </w:rPr>
        <w:t>，其中大型电站</w:t>
      </w:r>
      <w:r>
        <w:rPr>
          <w:rFonts w:hint="eastAsia"/>
        </w:rPr>
        <w:t>1.3</w:t>
      </w:r>
      <w:r>
        <w:rPr>
          <w:rFonts w:hint="eastAsia"/>
        </w:rPr>
        <w:t>，金太阳</w:t>
      </w:r>
      <w:r>
        <w:rPr>
          <w:rFonts w:hint="eastAsia"/>
        </w:rPr>
        <w:t>1.8GW</w:t>
      </w:r>
      <w:r>
        <w:rPr>
          <w:rFonts w:hint="eastAsia"/>
        </w:rPr>
        <w:t>，三季度装机约</w:t>
      </w:r>
      <w:r>
        <w:rPr>
          <w:rFonts w:hint="eastAsia"/>
        </w:rPr>
        <w:t>1.6GW</w:t>
      </w:r>
      <w:r>
        <w:rPr>
          <w:rFonts w:hint="eastAsia"/>
        </w:rPr>
        <w:t>。历年中国新增装机容量与增长率见下图。</w:t>
      </w:r>
    </w:p>
    <w:p w:rsidR="00CA619C" w:rsidRDefault="00CA619C" w:rsidP="00CA619C">
      <w:pPr>
        <w:ind w:firstLine="480"/>
        <w:jc w:val="center"/>
      </w:pPr>
      <w:r>
        <w:rPr>
          <w:noProof/>
          <w:lang w:eastAsia="en-US"/>
        </w:rPr>
        <w:drawing>
          <wp:inline distT="0" distB="0" distL="0" distR="0">
            <wp:extent cx="4603750" cy="2254250"/>
            <wp:effectExtent l="0" t="0" r="0" b="63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t="13176"/>
                    <a:stretch>
                      <a:fillRect/>
                    </a:stretch>
                  </pic:blipFill>
                  <pic:spPr bwMode="auto">
                    <a:xfrm>
                      <a:off x="0" y="0"/>
                      <a:ext cx="4603750" cy="2254250"/>
                    </a:xfrm>
                    <a:prstGeom prst="rect">
                      <a:avLst/>
                    </a:prstGeom>
                    <a:noFill/>
                    <a:ln>
                      <a:noFill/>
                    </a:ln>
                  </pic:spPr>
                </pic:pic>
              </a:graphicData>
            </a:graphic>
          </wp:inline>
        </w:drawing>
      </w:r>
    </w:p>
    <w:p w:rsidR="00CA619C" w:rsidRDefault="00CA619C" w:rsidP="00CA619C">
      <w:pPr>
        <w:pStyle w:val="a3"/>
        <w:tabs>
          <w:tab w:val="left" w:pos="425"/>
        </w:tabs>
        <w:rPr>
          <w:rFonts w:hint="eastAsia"/>
        </w:rPr>
      </w:pPr>
      <w:bookmarkStart w:id="37" w:name="_Toc392853204"/>
      <w:r>
        <w:rPr>
          <w:rFonts w:hint="eastAsia"/>
        </w:rPr>
        <w:t>2005</w:t>
      </w:r>
      <w:r>
        <w:rPr>
          <w:rFonts w:hint="eastAsia"/>
        </w:rPr>
        <w:t>年</w:t>
      </w:r>
      <w:r>
        <w:rPr>
          <w:rFonts w:hint="eastAsia"/>
        </w:rPr>
        <w:t>-2013</w:t>
      </w:r>
      <w:r>
        <w:rPr>
          <w:rFonts w:hint="eastAsia"/>
        </w:rPr>
        <w:t>年中国光伏累计装机容量</w:t>
      </w:r>
      <w:bookmarkEnd w:id="37"/>
    </w:p>
    <w:p w:rsidR="00CA619C" w:rsidRDefault="00CA619C" w:rsidP="00CA619C">
      <w:pPr>
        <w:pStyle w:val="a2"/>
        <w:ind w:left="840"/>
        <w:rPr>
          <w:rFonts w:hint="eastAsia"/>
        </w:rPr>
      </w:pPr>
      <w:r>
        <w:rPr>
          <w:rFonts w:hint="eastAsia"/>
        </w:rPr>
        <w:t>（来源：</w:t>
      </w:r>
      <w:r>
        <w:rPr>
          <w:rFonts w:hint="eastAsia"/>
        </w:rPr>
        <w:t>2013</w:t>
      </w:r>
      <w:r>
        <w:rPr>
          <w:rFonts w:hint="eastAsia"/>
        </w:rPr>
        <w:t>中国光伏产业发展报告）</w:t>
      </w:r>
    </w:p>
    <w:p w:rsidR="00CA619C" w:rsidRDefault="00CA619C" w:rsidP="00CA619C">
      <w:pPr>
        <w:ind w:firstLine="480"/>
        <w:jc w:val="center"/>
        <w:rPr>
          <w:rFonts w:ascii="宋体" w:hAnsi="宋体" w:cs="方正兰亭纤黑_GBK" w:hint="eastAsia"/>
          <w:color w:val="000000"/>
        </w:rPr>
      </w:pPr>
      <w:r>
        <w:rPr>
          <w:rFonts w:ascii="宋体" w:hAnsi="宋体"/>
          <w:noProof/>
          <w:color w:val="000000"/>
          <w:lang w:eastAsia="en-US"/>
        </w:rPr>
        <w:drawing>
          <wp:inline distT="0" distB="0" distL="0" distR="0">
            <wp:extent cx="4461510" cy="2396490"/>
            <wp:effectExtent l="0" t="0" r="8890" b="0"/>
            <wp:docPr id="7" name="_x0000_i1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x0000_i1033"/>
                    <pic:cNvPicPr>
                      <a:picLocks noChangeArrowheads="1"/>
                    </pic:cNvPicPr>
                  </pic:nvPicPr>
                  <pic:blipFill>
                    <a:blip r:embed="rId36">
                      <a:extLst>
                        <a:ext uri="{28A0092B-C50C-407E-A947-70E740481C1C}">
                          <a14:useLocalDpi xmlns:a14="http://schemas.microsoft.com/office/drawing/2010/main" val="0"/>
                        </a:ext>
                      </a:extLst>
                    </a:blip>
                    <a:srcRect t="11418"/>
                    <a:stretch>
                      <a:fillRect/>
                    </a:stretch>
                  </pic:blipFill>
                  <pic:spPr bwMode="auto">
                    <a:xfrm>
                      <a:off x="0" y="0"/>
                      <a:ext cx="4461510" cy="2396490"/>
                    </a:xfrm>
                    <a:prstGeom prst="rect">
                      <a:avLst/>
                    </a:prstGeom>
                    <a:solidFill>
                      <a:srgbClr val="000000"/>
                    </a:solidFill>
                    <a:ln>
                      <a:noFill/>
                    </a:ln>
                  </pic:spPr>
                </pic:pic>
              </a:graphicData>
            </a:graphic>
          </wp:inline>
        </w:drawing>
      </w:r>
    </w:p>
    <w:p w:rsidR="00CA619C" w:rsidRDefault="00CA619C" w:rsidP="00CA619C">
      <w:pPr>
        <w:pStyle w:val="a3"/>
        <w:tabs>
          <w:tab w:val="left" w:pos="425"/>
        </w:tabs>
      </w:pPr>
      <w:bookmarkStart w:id="38" w:name="_Toc15523"/>
      <w:bookmarkStart w:id="39" w:name="_Toc13589"/>
      <w:bookmarkStart w:id="40" w:name="_Toc392853205"/>
      <w:r>
        <w:rPr>
          <w:rFonts w:hint="eastAsia"/>
        </w:rPr>
        <w:t>2007</w:t>
      </w:r>
      <w:r>
        <w:rPr>
          <w:rFonts w:hint="eastAsia"/>
        </w:rPr>
        <w:t>年</w:t>
      </w:r>
      <w:r>
        <w:rPr>
          <w:rFonts w:hint="eastAsia"/>
        </w:rPr>
        <w:t>-2012</w:t>
      </w:r>
      <w:r>
        <w:rPr>
          <w:rFonts w:hint="eastAsia"/>
        </w:rPr>
        <w:t>年中国光伏新增装机量及增长</w:t>
      </w:r>
      <w:bookmarkEnd w:id="38"/>
      <w:bookmarkEnd w:id="39"/>
      <w:r>
        <w:rPr>
          <w:rFonts w:hint="eastAsia"/>
        </w:rPr>
        <w:t>情况</w:t>
      </w:r>
      <w:bookmarkEnd w:id="40"/>
    </w:p>
    <w:p w:rsidR="00CA619C" w:rsidRDefault="00CA619C" w:rsidP="00CA619C">
      <w:pPr>
        <w:pStyle w:val="a2"/>
        <w:ind w:left="840"/>
        <w:rPr>
          <w:rFonts w:hint="eastAsia"/>
        </w:rPr>
      </w:pPr>
      <w:r>
        <w:rPr>
          <w:rFonts w:hint="eastAsia"/>
        </w:rPr>
        <w:t>（资料来源：</w:t>
      </w:r>
      <w:r>
        <w:t xml:space="preserve">CPIA </w:t>
      </w:r>
      <w:r>
        <w:rPr>
          <w:rFonts w:hint="eastAsia"/>
        </w:rPr>
        <w:t>）</w:t>
      </w:r>
    </w:p>
    <w:p w:rsidR="00CA619C" w:rsidRDefault="00CA619C" w:rsidP="00CA619C">
      <w:pPr>
        <w:ind w:firstLine="480"/>
        <w:rPr>
          <w:rFonts w:hint="eastAsia"/>
        </w:rPr>
      </w:pPr>
      <w:r>
        <w:rPr>
          <w:rFonts w:hint="eastAsia"/>
        </w:rPr>
        <w:t>光伏制造产能在过去几年中快速扩张的同时，工艺水平不断提高，制造技术也越来越成熟，生产效率和管理水平都有了较大幅度的提升，光伏产业链从多晶硅原材料、组件到逆变器的生产成本和价格迅速降低。与此同时，通过大规模光伏电站的建设与维护，整个产业界积累了大量宝贵的电站设计、建设和运营管理经验，这也是电站系统价格得以下降的另一个原因。</w:t>
      </w:r>
      <w:r>
        <w:rPr>
          <w:rFonts w:hint="eastAsia"/>
        </w:rPr>
        <w:t>2008</w:t>
      </w:r>
      <w:r>
        <w:rPr>
          <w:rFonts w:hint="eastAsia"/>
        </w:rPr>
        <w:t>至</w:t>
      </w:r>
      <w:r>
        <w:rPr>
          <w:rFonts w:hint="eastAsia"/>
        </w:rPr>
        <w:t>2013</w:t>
      </w:r>
      <w:r>
        <w:rPr>
          <w:rFonts w:hint="eastAsia"/>
        </w:rPr>
        <w:t>年，每千吨多晶硅投资由</w:t>
      </w:r>
      <w:r>
        <w:rPr>
          <w:rFonts w:hint="eastAsia"/>
        </w:rPr>
        <w:t>7-10</w:t>
      </w:r>
      <w:r>
        <w:rPr>
          <w:rFonts w:hint="eastAsia"/>
        </w:rPr>
        <w:t>亿元（人民币）下降至</w:t>
      </w:r>
      <w:r>
        <w:rPr>
          <w:rFonts w:hint="eastAsia"/>
        </w:rPr>
        <w:t>2.5-4</w:t>
      </w:r>
      <w:r>
        <w:rPr>
          <w:rFonts w:hint="eastAsia"/>
        </w:rPr>
        <w:t>亿元；每兆瓦晶硅电池生产线投资</w:t>
      </w:r>
      <w:r>
        <w:rPr>
          <w:rFonts w:hint="eastAsia"/>
        </w:rPr>
        <w:t>2012</w:t>
      </w:r>
      <w:r>
        <w:rPr>
          <w:rFonts w:hint="eastAsia"/>
        </w:rPr>
        <w:t>年以来已经下降至最低</w:t>
      </w:r>
      <w:r>
        <w:rPr>
          <w:rFonts w:hint="eastAsia"/>
        </w:rPr>
        <w:t>100</w:t>
      </w:r>
      <w:r>
        <w:rPr>
          <w:rFonts w:hint="eastAsia"/>
        </w:rPr>
        <w:t>万元以内（国产设备）。</w:t>
      </w:r>
      <w:r>
        <w:rPr>
          <w:rFonts w:hint="eastAsia"/>
        </w:rPr>
        <w:t>2008-2013</w:t>
      </w:r>
      <w:r>
        <w:rPr>
          <w:rFonts w:hint="eastAsia"/>
        </w:rPr>
        <w:t>年，我国主要光伏企业生产每千克多晶硅的综合能耗由</w:t>
      </w:r>
      <w:r>
        <w:rPr>
          <w:rFonts w:hint="eastAsia"/>
        </w:rPr>
        <w:t>300</w:t>
      </w:r>
      <w:r>
        <w:rPr>
          <w:rFonts w:hint="eastAsia"/>
        </w:rPr>
        <w:t>千瓦时左右降低至</w:t>
      </w:r>
      <w:r>
        <w:rPr>
          <w:rFonts w:hint="eastAsia"/>
        </w:rPr>
        <w:t>120</w:t>
      </w:r>
      <w:r>
        <w:rPr>
          <w:rFonts w:hint="eastAsia"/>
        </w:rPr>
        <w:t>千瓦时以下，先进企业已达到</w:t>
      </w:r>
      <w:r>
        <w:rPr>
          <w:rFonts w:hint="eastAsia"/>
        </w:rPr>
        <w:t>80</w:t>
      </w:r>
      <w:r>
        <w:rPr>
          <w:rFonts w:hint="eastAsia"/>
        </w:rPr>
        <w:t>千瓦时以下。单晶硅、多晶硅及薄膜电池（硅基）产品平均转换效率分别由</w:t>
      </w:r>
      <w:r>
        <w:rPr>
          <w:rFonts w:hint="eastAsia"/>
        </w:rPr>
        <w:t>16.5%</w:t>
      </w:r>
      <w:r>
        <w:rPr>
          <w:rFonts w:hint="eastAsia"/>
        </w:rPr>
        <w:t>、</w:t>
      </w:r>
      <w:r>
        <w:rPr>
          <w:rFonts w:hint="eastAsia"/>
        </w:rPr>
        <w:t>15%</w:t>
      </w:r>
      <w:r>
        <w:rPr>
          <w:rFonts w:hint="eastAsia"/>
        </w:rPr>
        <w:t>、</w:t>
      </w:r>
      <w:r>
        <w:rPr>
          <w:rFonts w:hint="eastAsia"/>
        </w:rPr>
        <w:t>6%</w:t>
      </w:r>
      <w:r>
        <w:rPr>
          <w:rFonts w:hint="eastAsia"/>
        </w:rPr>
        <w:t>提升至</w:t>
      </w:r>
      <w:r>
        <w:rPr>
          <w:rFonts w:hint="eastAsia"/>
        </w:rPr>
        <w:t>19%</w:t>
      </w:r>
      <w:r>
        <w:rPr>
          <w:rFonts w:hint="eastAsia"/>
        </w:rPr>
        <w:t>以上、</w:t>
      </w:r>
      <w:r>
        <w:rPr>
          <w:rFonts w:hint="eastAsia"/>
        </w:rPr>
        <w:t>17.5%</w:t>
      </w:r>
      <w:r>
        <w:rPr>
          <w:rFonts w:hint="eastAsia"/>
        </w:rPr>
        <w:t>左右、</w:t>
      </w:r>
      <w:r>
        <w:rPr>
          <w:rFonts w:hint="eastAsia"/>
        </w:rPr>
        <w:t>10%</w:t>
      </w:r>
      <w:r>
        <w:rPr>
          <w:rFonts w:hint="eastAsia"/>
        </w:rPr>
        <w:t>左右。部分企业相应指标已全球领先。</w:t>
      </w:r>
    </w:p>
    <w:p w:rsidR="00CA619C" w:rsidRDefault="00CA619C" w:rsidP="00CA619C">
      <w:pPr>
        <w:ind w:firstLine="480"/>
        <w:rPr>
          <w:rFonts w:hint="eastAsia"/>
        </w:rPr>
      </w:pPr>
      <w:r>
        <w:rPr>
          <w:rFonts w:hint="eastAsia"/>
        </w:rPr>
        <w:t>工艺技术水平的提升带来了多晶硅及电池组件生产成本的不断降低。目前国内先进多晶硅企业生产成本已降至</w:t>
      </w:r>
      <w:r>
        <w:rPr>
          <w:rFonts w:hint="eastAsia"/>
        </w:rPr>
        <w:t>16</w:t>
      </w:r>
      <w:r>
        <w:rPr>
          <w:rFonts w:hint="eastAsia"/>
        </w:rPr>
        <w:t>美元</w:t>
      </w:r>
      <w:r>
        <w:rPr>
          <w:rFonts w:hint="eastAsia"/>
        </w:rPr>
        <w:t>/</w:t>
      </w:r>
      <w:r>
        <w:rPr>
          <w:rFonts w:hint="eastAsia"/>
        </w:rPr>
        <w:t>千克以下，晶硅电池降至</w:t>
      </w:r>
      <w:r>
        <w:rPr>
          <w:rFonts w:hint="eastAsia"/>
        </w:rPr>
        <w:t>0.5</w:t>
      </w:r>
      <w:r>
        <w:rPr>
          <w:rFonts w:hint="eastAsia"/>
        </w:rPr>
        <w:t>美元</w:t>
      </w:r>
      <w:r>
        <w:rPr>
          <w:rFonts w:hint="eastAsia"/>
        </w:rPr>
        <w:t>/</w:t>
      </w:r>
      <w:r>
        <w:rPr>
          <w:rFonts w:hint="eastAsia"/>
        </w:rPr>
        <w:t>千克。截止到</w:t>
      </w:r>
      <w:r>
        <w:rPr>
          <w:rFonts w:hint="eastAsia"/>
        </w:rPr>
        <w:t>2012</w:t>
      </w:r>
      <w:r>
        <w:rPr>
          <w:rFonts w:hint="eastAsia"/>
        </w:rPr>
        <w:t>年，投资国内大型地面电站的系统价格平均为</w:t>
      </w:r>
      <w:r>
        <w:rPr>
          <w:rFonts w:hint="eastAsia"/>
        </w:rPr>
        <w:t>1.5</w:t>
      </w:r>
      <w:r>
        <w:rPr>
          <w:rFonts w:hint="eastAsia"/>
        </w:rPr>
        <w:t>美元</w:t>
      </w:r>
      <w:r>
        <w:rPr>
          <w:rFonts w:hint="eastAsia"/>
        </w:rPr>
        <w:t>/</w:t>
      </w:r>
      <w:r>
        <w:rPr>
          <w:rFonts w:hint="eastAsia"/>
        </w:rPr>
        <w:t>瓦</w:t>
      </w:r>
      <w:r>
        <w:rPr>
          <w:rFonts w:hint="eastAsia"/>
        </w:rPr>
        <w:t>-1.8</w:t>
      </w:r>
      <w:r>
        <w:rPr>
          <w:rFonts w:hint="eastAsia"/>
        </w:rPr>
        <w:t>美元</w:t>
      </w:r>
      <w:r>
        <w:rPr>
          <w:rFonts w:hint="eastAsia"/>
        </w:rPr>
        <w:t>/</w:t>
      </w:r>
      <w:r>
        <w:rPr>
          <w:rFonts w:hint="eastAsia"/>
        </w:rPr>
        <w:t>瓦，光伏发电的度电成本也随之不断降低。在光照资源丰富地区，</w:t>
      </w:r>
      <w:r>
        <w:rPr>
          <w:rFonts w:hint="eastAsia"/>
        </w:rPr>
        <w:t>2012</w:t>
      </w:r>
      <w:r>
        <w:rPr>
          <w:rFonts w:hint="eastAsia"/>
        </w:rPr>
        <w:t>年大型光伏地面电站发电的度电成本已经接近</w:t>
      </w:r>
      <w:r>
        <w:rPr>
          <w:rFonts w:hint="eastAsia"/>
        </w:rPr>
        <w:t>0.6</w:t>
      </w:r>
      <w:r>
        <w:rPr>
          <w:rFonts w:hint="eastAsia"/>
        </w:rPr>
        <w:t>元</w:t>
      </w:r>
      <w:r>
        <w:rPr>
          <w:rFonts w:hint="eastAsia"/>
        </w:rPr>
        <w:t>/</w:t>
      </w:r>
      <w:r>
        <w:rPr>
          <w:rFonts w:hint="eastAsia"/>
        </w:rPr>
        <w:t>度。</w:t>
      </w:r>
    </w:p>
    <w:p w:rsidR="00CA619C" w:rsidRDefault="00CA619C" w:rsidP="00CA619C">
      <w:pPr>
        <w:ind w:firstLine="480"/>
        <w:jc w:val="center"/>
        <w:rPr>
          <w:rFonts w:hint="eastAsia"/>
        </w:rPr>
      </w:pPr>
      <w:r>
        <w:rPr>
          <w:noProof/>
          <w:lang w:eastAsia="en-US"/>
        </w:rPr>
        <w:drawing>
          <wp:inline distT="0" distB="0" distL="0" distR="0">
            <wp:extent cx="5250180" cy="2412365"/>
            <wp:effectExtent l="0" t="0" r="7620" b="635"/>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0180" cy="2412365"/>
                    </a:xfrm>
                    <a:prstGeom prst="rect">
                      <a:avLst/>
                    </a:prstGeom>
                    <a:noFill/>
                    <a:ln>
                      <a:noFill/>
                    </a:ln>
                  </pic:spPr>
                </pic:pic>
              </a:graphicData>
            </a:graphic>
          </wp:inline>
        </w:drawing>
      </w:r>
    </w:p>
    <w:p w:rsidR="00CA619C" w:rsidRDefault="00CA619C" w:rsidP="00CA619C">
      <w:pPr>
        <w:pStyle w:val="a3"/>
        <w:tabs>
          <w:tab w:val="left" w:pos="425"/>
        </w:tabs>
        <w:rPr>
          <w:rFonts w:hint="eastAsia"/>
        </w:rPr>
      </w:pPr>
      <w:bookmarkStart w:id="41" w:name="_Toc392853206"/>
      <w:r>
        <w:rPr>
          <w:rFonts w:hint="eastAsia"/>
        </w:rPr>
        <w:t>中国不同地区光伏发电价格变化趋势</w:t>
      </w:r>
      <w:bookmarkEnd w:id="41"/>
    </w:p>
    <w:p w:rsidR="00CA619C" w:rsidRDefault="00CA619C" w:rsidP="00CA619C">
      <w:pPr>
        <w:pStyle w:val="a2"/>
        <w:ind w:left="840"/>
        <w:rPr>
          <w:rFonts w:hint="eastAsia"/>
        </w:rPr>
      </w:pPr>
      <w:r>
        <w:rPr>
          <w:rFonts w:hint="eastAsia"/>
        </w:rPr>
        <w:t>（来源：</w:t>
      </w:r>
      <w:r>
        <w:rPr>
          <w:rFonts w:hint="eastAsia"/>
        </w:rPr>
        <w:t>SEMI</w:t>
      </w:r>
      <w:r>
        <w:rPr>
          <w:rFonts w:hint="eastAsia"/>
        </w:rPr>
        <w:t>）</w:t>
      </w:r>
    </w:p>
    <w:p w:rsidR="00CA619C" w:rsidRDefault="00CA619C" w:rsidP="00CA619C">
      <w:pPr>
        <w:ind w:firstLine="480"/>
        <w:rPr>
          <w:rFonts w:hint="eastAsia"/>
        </w:rPr>
      </w:pPr>
      <w:r>
        <w:rPr>
          <w:rFonts w:hint="eastAsia"/>
        </w:rPr>
        <w:t>光伏产业的利润向下游转移的现实促使更多的光伏上游制造商向电站开发进军。根据</w:t>
      </w:r>
      <w:r>
        <w:rPr>
          <w:rFonts w:hint="eastAsia"/>
        </w:rPr>
        <w:t>SEMI</w:t>
      </w:r>
      <w:r>
        <w:rPr>
          <w:rFonts w:hint="eastAsia"/>
        </w:rPr>
        <w:t>的《全球光伏制造数据库》的统计结果，中国排名前</w:t>
      </w:r>
      <w:r>
        <w:rPr>
          <w:rFonts w:hint="eastAsia"/>
        </w:rPr>
        <w:t>20</w:t>
      </w:r>
      <w:r>
        <w:rPr>
          <w:rFonts w:hint="eastAsia"/>
        </w:rPr>
        <w:t>位的光伏组件和电池制造商均已涉足电站开发业务。</w:t>
      </w:r>
    </w:p>
    <w:p w:rsidR="00CA619C" w:rsidRDefault="00CA619C" w:rsidP="00CA619C">
      <w:pPr>
        <w:ind w:firstLine="480"/>
        <w:rPr>
          <w:rFonts w:hint="eastAsia"/>
        </w:rPr>
      </w:pPr>
      <w:r>
        <w:rPr>
          <w:rFonts w:hint="eastAsia"/>
        </w:rPr>
        <w:t>2011</w:t>
      </w:r>
      <w:r>
        <w:rPr>
          <w:rFonts w:hint="eastAsia"/>
        </w:rPr>
        <w:t>年底以来，受欧美“双反”调查影响，我国光伏制造业出口受阻，其中</w:t>
      </w:r>
      <w:r>
        <w:rPr>
          <w:rFonts w:hint="eastAsia"/>
        </w:rPr>
        <w:t>2012</w:t>
      </w:r>
      <w:r>
        <w:rPr>
          <w:rFonts w:hint="eastAsia"/>
        </w:rPr>
        <w:t>年</w:t>
      </w:r>
      <w:r>
        <w:rPr>
          <w:rFonts w:hint="eastAsia"/>
        </w:rPr>
        <w:t>8</w:t>
      </w:r>
      <w:r>
        <w:rPr>
          <w:rFonts w:hint="eastAsia"/>
        </w:rPr>
        <w:t>月的对美出口额为</w:t>
      </w:r>
      <w:r>
        <w:rPr>
          <w:rFonts w:hint="eastAsia"/>
        </w:rPr>
        <w:t>0.85</w:t>
      </w:r>
      <w:r>
        <w:rPr>
          <w:rFonts w:hint="eastAsia"/>
        </w:rPr>
        <w:t>亿美元，较年初</w:t>
      </w:r>
      <w:r>
        <w:rPr>
          <w:rFonts w:hint="eastAsia"/>
        </w:rPr>
        <w:t>1</w:t>
      </w:r>
      <w:r>
        <w:rPr>
          <w:rFonts w:hint="eastAsia"/>
        </w:rPr>
        <w:t>月份的</w:t>
      </w:r>
      <w:r>
        <w:rPr>
          <w:rFonts w:hint="eastAsia"/>
        </w:rPr>
        <w:t>3.87</w:t>
      </w:r>
      <w:r>
        <w:rPr>
          <w:rFonts w:hint="eastAsia"/>
        </w:rPr>
        <w:t>亿美元下降</w:t>
      </w:r>
      <w:r>
        <w:rPr>
          <w:rFonts w:hint="eastAsia"/>
        </w:rPr>
        <w:t>80%</w:t>
      </w:r>
      <w:r>
        <w:rPr>
          <w:rFonts w:hint="eastAsia"/>
        </w:rPr>
        <w:t>。国际市场影响反致国内光伏发电装机增加。</w:t>
      </w:r>
    </w:p>
    <w:p w:rsidR="00CA619C" w:rsidRDefault="00CA619C" w:rsidP="00CA619C">
      <w:pPr>
        <w:ind w:firstLine="480"/>
        <w:rPr>
          <w:rFonts w:hint="eastAsia"/>
        </w:rPr>
      </w:pPr>
      <w:r>
        <w:rPr>
          <w:rFonts w:hint="eastAsia"/>
        </w:rPr>
        <w:t>2012</w:t>
      </w:r>
      <w:r>
        <w:rPr>
          <w:rFonts w:hint="eastAsia"/>
        </w:rPr>
        <w:t>年，我国多晶硅产业情况进一步恶化，产量出现负增长，停产企业数量达到近</w:t>
      </w:r>
      <w:r>
        <w:rPr>
          <w:rFonts w:hint="eastAsia"/>
        </w:rPr>
        <w:t>90%</w:t>
      </w:r>
      <w:r>
        <w:rPr>
          <w:rFonts w:hint="eastAsia"/>
        </w:rPr>
        <w:t>，至</w:t>
      </w:r>
      <w:r>
        <w:rPr>
          <w:rFonts w:hint="eastAsia"/>
        </w:rPr>
        <w:t>2012</w:t>
      </w:r>
      <w:r>
        <w:rPr>
          <w:rFonts w:hint="eastAsia"/>
        </w:rPr>
        <w:t>年底，仅有江苏中能、大全、亚洲硅业和黄河上游等几家企业在保持生产，且产能利用率也大幅下降。我国多晶硅行业价格也从</w:t>
      </w:r>
      <w:r>
        <w:rPr>
          <w:rFonts w:hint="eastAsia"/>
        </w:rPr>
        <w:t>2012</w:t>
      </w:r>
      <w:r>
        <w:rPr>
          <w:rFonts w:hint="eastAsia"/>
        </w:rPr>
        <w:t>年初的</w:t>
      </w:r>
      <w:r>
        <w:rPr>
          <w:rFonts w:hint="eastAsia"/>
        </w:rPr>
        <w:t>230</w:t>
      </w:r>
      <w:r>
        <w:rPr>
          <w:rFonts w:hint="eastAsia"/>
        </w:rPr>
        <w:t>元</w:t>
      </w:r>
      <w:r>
        <w:rPr>
          <w:rFonts w:hint="eastAsia"/>
        </w:rPr>
        <w:t>/</w:t>
      </w:r>
      <w:r>
        <w:rPr>
          <w:rFonts w:hint="eastAsia"/>
        </w:rPr>
        <w:t>公斤一路跌到</w:t>
      </w:r>
      <w:r>
        <w:rPr>
          <w:rFonts w:hint="eastAsia"/>
        </w:rPr>
        <w:t>12</w:t>
      </w:r>
      <w:r>
        <w:rPr>
          <w:rFonts w:hint="eastAsia"/>
        </w:rPr>
        <w:t>月初的</w:t>
      </w:r>
      <w:r>
        <w:rPr>
          <w:rFonts w:hint="eastAsia"/>
        </w:rPr>
        <w:t>110</w:t>
      </w:r>
      <w:r>
        <w:rPr>
          <w:rFonts w:hint="eastAsia"/>
        </w:rPr>
        <w:t>元</w:t>
      </w:r>
      <w:r>
        <w:rPr>
          <w:rFonts w:hint="eastAsia"/>
        </w:rPr>
        <w:t>/</w:t>
      </w:r>
      <w:r>
        <w:rPr>
          <w:rFonts w:hint="eastAsia"/>
        </w:rPr>
        <w:t>公斤。</w:t>
      </w:r>
    </w:p>
    <w:p w:rsidR="00CA619C" w:rsidRDefault="00CA619C" w:rsidP="00CA619C">
      <w:pPr>
        <w:pStyle w:val="Heading4"/>
        <w:tabs>
          <w:tab w:val="left" w:pos="864"/>
        </w:tabs>
        <w:rPr>
          <w:rFonts w:hint="eastAsia"/>
        </w:rPr>
      </w:pPr>
      <w:r>
        <w:rPr>
          <w:rFonts w:hint="eastAsia"/>
        </w:rPr>
        <w:t>中国光伏技术水平</w:t>
      </w:r>
    </w:p>
    <w:p w:rsidR="00CA619C" w:rsidRDefault="00CA619C" w:rsidP="00CA619C">
      <w:pPr>
        <w:numPr>
          <w:ilvl w:val="1"/>
          <w:numId w:val="4"/>
        </w:numPr>
        <w:tabs>
          <w:tab w:val="clear" w:pos="1500"/>
          <w:tab w:val="left" w:pos="540"/>
        </w:tabs>
        <w:spacing w:line="360" w:lineRule="auto"/>
        <w:ind w:left="540" w:firstLine="0"/>
        <w:rPr>
          <w:rFonts w:hint="eastAsia"/>
          <w:b/>
        </w:rPr>
      </w:pPr>
      <w:r>
        <w:rPr>
          <w:rFonts w:hint="eastAsia"/>
          <w:b/>
        </w:rPr>
        <w:t>光伏产业技术总体特征</w:t>
      </w:r>
    </w:p>
    <w:p w:rsidR="00CA619C" w:rsidRDefault="00CA619C" w:rsidP="00CA619C">
      <w:pPr>
        <w:ind w:firstLine="480"/>
        <w:rPr>
          <w:rFonts w:hint="eastAsia"/>
        </w:rPr>
      </w:pPr>
      <w:r>
        <w:rPr>
          <w:rFonts w:hint="eastAsia"/>
        </w:rPr>
        <w:t>太阳能电池可主要划分为单晶硅电池、多晶硅电池和薄膜电池三种，其中：单晶硅电池技术成熟，光电转换效率高，但其生产成本较高，技术要求高；多晶硅电池成本相对较低，技术成熟，但光电转换效率相对较低；薄膜电池成本低，发光效率高，但目前其在技术稳定性和规模生产上均存在一定的困难。随着技术的进步，未来薄膜电池会有更好的发展前景。</w:t>
      </w:r>
    </w:p>
    <w:p w:rsidR="00CA619C" w:rsidRDefault="00CA619C" w:rsidP="00CA619C">
      <w:pPr>
        <w:ind w:firstLine="480"/>
        <w:rPr>
          <w:rFonts w:hint="eastAsia"/>
        </w:rPr>
      </w:pPr>
      <w:r>
        <w:rPr>
          <w:rFonts w:hint="eastAsia"/>
        </w:rPr>
        <w:t>我国光伏产业技术总体特征是：上游产业（硅提纯、硅锭</w:t>
      </w:r>
      <w:r>
        <w:rPr>
          <w:rFonts w:hint="eastAsia"/>
        </w:rPr>
        <w:t>/</w:t>
      </w:r>
      <w:r>
        <w:rPr>
          <w:rFonts w:hint="eastAsia"/>
        </w:rPr>
        <w:t>硅片环节）缺乏技术创新，不掌握核心技术；中游产业（电池片、电池组件制造环节）自主创新能力不够，主要引进国外先进技术。下游产业（应用系统环节）技术逊于国外。</w:t>
      </w:r>
    </w:p>
    <w:p w:rsidR="00CA619C" w:rsidRDefault="00CA619C" w:rsidP="00CA619C">
      <w:pPr>
        <w:ind w:firstLine="480"/>
        <w:rPr>
          <w:rFonts w:hint="eastAsia"/>
        </w:rPr>
      </w:pPr>
      <w:r>
        <w:rPr>
          <w:rFonts w:hint="eastAsia"/>
        </w:rPr>
        <w:t>从光伏产业链技术角度来看，虽然在我国光伏中游产业中企业创新不断，但缺少自主创新能力，主要引进吸收国外技术，导致创新能力不够。上游和下游产业缺少技术创新，尤其是在上游产业中多晶硅提纯技术，核心技术被外国掌握，下游产业由于我国应用推广还很少，技术创新步伐进展缓慢。现阶段制约我国光伏产业发展的瓶颈是上游产业中的多晶硅提纯技术，主要为引进俄罗斯的改良西门子法，相对于外国技术有一定差距，能耗成本大，产能相对较少。</w:t>
      </w:r>
    </w:p>
    <w:p w:rsidR="00CA619C" w:rsidRDefault="00CA619C" w:rsidP="00CA619C">
      <w:pPr>
        <w:numPr>
          <w:ilvl w:val="1"/>
          <w:numId w:val="4"/>
        </w:numPr>
        <w:tabs>
          <w:tab w:val="clear" w:pos="1500"/>
          <w:tab w:val="left" w:pos="540"/>
        </w:tabs>
        <w:spacing w:line="360" w:lineRule="auto"/>
        <w:ind w:left="540" w:firstLine="0"/>
        <w:rPr>
          <w:rFonts w:hint="eastAsia"/>
          <w:b/>
        </w:rPr>
      </w:pPr>
      <w:r>
        <w:rPr>
          <w:rFonts w:hint="eastAsia"/>
          <w:b/>
        </w:rPr>
        <w:t>多晶硅提纯技术主要依靠引进国外技术</w:t>
      </w:r>
    </w:p>
    <w:p w:rsidR="00CA619C" w:rsidRDefault="00CA619C" w:rsidP="00CA619C">
      <w:pPr>
        <w:ind w:firstLine="480"/>
        <w:rPr>
          <w:rFonts w:hint="eastAsia"/>
        </w:rPr>
      </w:pPr>
      <w:r>
        <w:rPr>
          <w:rFonts w:hint="eastAsia"/>
        </w:rPr>
        <w:t>我国的多晶硅提纯技术始终靠引进国外技术，缺少自主研发和掌握核心技术，外国对我国的技术转移都是在本国产生了更高效率的提纯技术的前提下进行的或者核心关键技术没有对我国进行转移，使我国在多晶硅提纯方面完全依赖和受制于外国，导致我国大部分高纯度多晶硅都是从国外进口。由于我国大部分光伏企业都处在附加值较低的中游产业，虽然有创新，但处在这部分产业的技术已经相当成熟，技术创新空间较小。而在创新空问大的上游产业，企业因为没有掌握多晶硅提纯的先进技术，导致成本过高，致使总体利润不大。有的甚至出现亏损。</w:t>
      </w:r>
    </w:p>
    <w:p w:rsidR="00CA619C" w:rsidRDefault="00CA619C" w:rsidP="00CA619C">
      <w:pPr>
        <w:widowControl/>
        <w:ind w:firstLine="480"/>
        <w:rPr>
          <w:rFonts w:hint="eastAsia"/>
          <w:kern w:val="0"/>
        </w:rPr>
      </w:pPr>
      <w:r>
        <w:rPr>
          <w:rFonts w:hint="eastAsia"/>
          <w:kern w:val="0"/>
        </w:rPr>
        <w:t>多晶硅原材料的生产技术在</w:t>
      </w:r>
      <w:r>
        <w:rPr>
          <w:rFonts w:hint="eastAsia"/>
          <w:kern w:val="0"/>
        </w:rPr>
        <w:t>2007</w:t>
      </w:r>
      <w:r>
        <w:rPr>
          <w:rFonts w:hint="eastAsia"/>
          <w:kern w:val="0"/>
        </w:rPr>
        <w:t>年以前被美国、日本、德国等国垄断。与国外的多晶硅生产商相比，国内厂商由于技术落后，多晶硅生产质量相对较差，且生产成本普遍高于国外企业。我国的太阳电池关键生产设备和高纯度硅材料基本上依赖进口；薄膜电池生产工艺及装备水平也明显落后于国际先进水平。</w:t>
      </w:r>
    </w:p>
    <w:p w:rsidR="00CA619C" w:rsidRDefault="00CA619C" w:rsidP="00CA619C">
      <w:pPr>
        <w:ind w:firstLine="480"/>
        <w:rPr>
          <w:rFonts w:hint="eastAsia"/>
        </w:rPr>
      </w:pPr>
      <w:r>
        <w:rPr>
          <w:rFonts w:hint="eastAsia"/>
          <w:kern w:val="0"/>
        </w:rPr>
        <w:t>我国在引进光伏生产设备和技术的同时，德、日、美等主要发达国家在光伏关键核心技术和工艺技术上对我国实施技术封锁，导致了我国一些企业在没有完整的光伏工艺技术条件下，由高额利润驱动疯狂进入光伏行业，快速上马光伏项目，进而出现了高耗能、高排放。</w:t>
      </w:r>
    </w:p>
    <w:p w:rsidR="00CA619C" w:rsidRDefault="00CA619C" w:rsidP="00CA619C">
      <w:pPr>
        <w:numPr>
          <w:ilvl w:val="1"/>
          <w:numId w:val="4"/>
        </w:numPr>
        <w:tabs>
          <w:tab w:val="clear" w:pos="1500"/>
          <w:tab w:val="left" w:pos="540"/>
        </w:tabs>
        <w:spacing w:line="360" w:lineRule="auto"/>
        <w:ind w:left="540" w:firstLine="0"/>
        <w:rPr>
          <w:rFonts w:hint="eastAsia"/>
          <w:b/>
        </w:rPr>
      </w:pPr>
      <w:r>
        <w:rPr>
          <w:rFonts w:hint="eastAsia"/>
          <w:b/>
        </w:rPr>
        <w:t>晶硅电池生产技术处于全球领先水平</w:t>
      </w:r>
    </w:p>
    <w:p w:rsidR="00CA619C" w:rsidRDefault="00CA619C" w:rsidP="00CA619C">
      <w:pPr>
        <w:ind w:firstLine="480"/>
        <w:rPr>
          <w:rFonts w:hint="eastAsia"/>
        </w:rPr>
      </w:pPr>
      <w:r>
        <w:rPr>
          <w:rFonts w:hint="eastAsia"/>
        </w:rPr>
        <w:t>我国晶体硅太阳能电池的技术水平逐年提高，太阳能电池效率和产品合格率平均每年提高</w:t>
      </w:r>
      <w:r>
        <w:rPr>
          <w:rFonts w:hint="eastAsia"/>
        </w:rPr>
        <w:t>1</w:t>
      </w:r>
      <w:r>
        <w:rPr>
          <w:rFonts w:hint="eastAsia"/>
        </w:rPr>
        <w:t>％。无锡尚德的“冥王星”（</w:t>
      </w:r>
      <w:r>
        <w:rPr>
          <w:rFonts w:hint="eastAsia"/>
        </w:rPr>
        <w:t>Pluto</w:t>
      </w:r>
      <w:r>
        <w:rPr>
          <w:rFonts w:hint="eastAsia"/>
        </w:rPr>
        <w:t>）技术、南京中电的发射结钝化技术均使批量生产的电池效率均超过</w:t>
      </w:r>
      <w:r>
        <w:rPr>
          <w:rFonts w:hint="eastAsia"/>
        </w:rPr>
        <w:t>19</w:t>
      </w:r>
      <w:r>
        <w:rPr>
          <w:rFonts w:hint="eastAsia"/>
        </w:rPr>
        <w:t>％，达到世界先进水平；保定英利的硅浆料回收技术，使得太阳能电池高纯硅材料的用量从</w:t>
      </w:r>
      <w:r>
        <w:rPr>
          <w:rFonts w:hint="eastAsia"/>
        </w:rPr>
        <w:t>9</w:t>
      </w:r>
      <w:r>
        <w:rPr>
          <w:rFonts w:hint="eastAsia"/>
        </w:rPr>
        <w:t>克</w:t>
      </w:r>
      <w:r>
        <w:rPr>
          <w:rFonts w:hint="eastAsia"/>
        </w:rPr>
        <w:t>/</w:t>
      </w:r>
      <w:r>
        <w:rPr>
          <w:rFonts w:hint="eastAsia"/>
        </w:rPr>
        <w:t>瓦下降到</w:t>
      </w:r>
      <w:r>
        <w:rPr>
          <w:rFonts w:hint="eastAsia"/>
        </w:rPr>
        <w:t>5.8</w:t>
      </w:r>
      <w:r>
        <w:rPr>
          <w:rFonts w:hint="eastAsia"/>
        </w:rPr>
        <w:t>克</w:t>
      </w:r>
      <w:r>
        <w:rPr>
          <w:rFonts w:hint="eastAsia"/>
        </w:rPr>
        <w:t>/</w:t>
      </w:r>
      <w:r>
        <w:rPr>
          <w:rFonts w:hint="eastAsia"/>
        </w:rPr>
        <w:t>瓦。我国在晶体硅太阳能电池方面已经占有质量和成本的双重优势。</w:t>
      </w:r>
    </w:p>
    <w:p w:rsidR="00CA619C" w:rsidRDefault="00CA619C" w:rsidP="00CA619C">
      <w:pPr>
        <w:ind w:firstLine="480"/>
        <w:rPr>
          <w:rFonts w:hint="eastAsia"/>
        </w:rPr>
      </w:pPr>
      <w:r>
        <w:rPr>
          <w:rFonts w:hint="eastAsia"/>
        </w:rPr>
        <w:t>光伏设备辅料研发成果不断。产业发展，设备先行，近些年来我国在光伏设备和配套辅料的研发方面不断取得突破，国产化水平不断提高。除了单晶炉、扩散炉、清洗机等设备外，</w:t>
      </w:r>
      <w:r>
        <w:rPr>
          <w:rFonts w:hint="eastAsia"/>
        </w:rPr>
        <w:t>2010</w:t>
      </w:r>
      <w:r>
        <w:rPr>
          <w:rFonts w:hint="eastAsia"/>
        </w:rPr>
        <w:t>年我国浙江精功科技有限公司研制出的多晶硅铸锭炉，其技术指标已达到国际先进水平，打破了多晶硅铸锭炉设备依赖进口产品的局面，国产化水平得到大幅提升。河南恒星科技有限公司突破多晶硅切割线的产业化生产技术，打破切割线被外国企业垄断的局面，实现进口替代。而晶硅电池生产也已实现全线贯通能力，能提供全套生产线的生产设备。</w:t>
      </w:r>
    </w:p>
    <w:p w:rsidR="00CA619C" w:rsidRDefault="00CA619C" w:rsidP="00CA619C">
      <w:pPr>
        <w:numPr>
          <w:ilvl w:val="1"/>
          <w:numId w:val="4"/>
        </w:numPr>
        <w:tabs>
          <w:tab w:val="clear" w:pos="1500"/>
          <w:tab w:val="left" w:pos="540"/>
        </w:tabs>
        <w:spacing w:line="360" w:lineRule="auto"/>
        <w:ind w:left="540" w:firstLine="0"/>
        <w:rPr>
          <w:rFonts w:hint="eastAsia"/>
          <w:b/>
        </w:rPr>
      </w:pPr>
      <w:r>
        <w:rPr>
          <w:rFonts w:hint="eastAsia"/>
          <w:b/>
        </w:rPr>
        <w:t>未来技术方向</w:t>
      </w:r>
    </w:p>
    <w:p w:rsidR="00CA619C" w:rsidRDefault="00CA619C" w:rsidP="00CA619C">
      <w:pPr>
        <w:ind w:firstLine="480"/>
        <w:rPr>
          <w:szCs w:val="21"/>
        </w:rPr>
      </w:pPr>
      <w:r>
        <w:rPr>
          <w:rFonts w:hint="eastAsia"/>
        </w:rPr>
        <w:t>技术的提升始终是光伏产业进步、发展的推动力。我国《太阳能发电科技“十二五”专项规划》从太阳电池材料、器件、系统和装备四个方面对太阳能光伏产业重点技术和方向进行了详细阐述。其中：太阳能级硅材料方面，重点研究高效节能多晶硅材料的产业化技术；太阳电池方面，重点研究高效、低成本、超薄晶硅太阳电池和高效薄膜太阳电池的产业化技术，着力发展新兴太阳电池关键技术；光伏系统及平衡部件方面，重点研究</w:t>
      </w:r>
      <w:r>
        <w:rPr>
          <w:rFonts w:hint="eastAsia"/>
        </w:rPr>
        <w:t>100MW</w:t>
      </w:r>
      <w:r>
        <w:rPr>
          <w:rFonts w:hint="eastAsia"/>
        </w:rPr>
        <w:t>级并网光伏电站、高密度区域建筑光伏系统、光伏微电网系统技术和大型多能互补光伏并网系统技术与关键设备的产业化技术</w:t>
      </w:r>
    </w:p>
    <w:p w:rsidR="00CA619C" w:rsidRDefault="00CA619C" w:rsidP="00CA619C">
      <w:pPr>
        <w:pStyle w:val="Heading2"/>
        <w:tabs>
          <w:tab w:val="clear" w:pos="575"/>
          <w:tab w:val="left" w:pos="432"/>
        </w:tabs>
        <w:rPr>
          <w:rFonts w:ascii="宋体" w:hAnsi="宋体" w:hint="eastAsia"/>
          <w:sz w:val="24"/>
          <w:szCs w:val="24"/>
        </w:rPr>
      </w:pPr>
      <w:bookmarkStart w:id="42" w:name="_Toc392853115"/>
      <w:r>
        <w:rPr>
          <w:rFonts w:ascii="宋体" w:hAnsi="宋体" w:hint="eastAsia"/>
          <w:sz w:val="24"/>
          <w:szCs w:val="24"/>
        </w:rPr>
        <w:t>储能</w:t>
      </w:r>
      <w:bookmarkEnd w:id="42"/>
    </w:p>
    <w:p w:rsidR="00CA619C" w:rsidRDefault="00CA619C" w:rsidP="00CA619C">
      <w:pPr>
        <w:pStyle w:val="Heading3"/>
        <w:numPr>
          <w:ilvl w:val="2"/>
          <w:numId w:val="1"/>
        </w:numPr>
        <w:tabs>
          <w:tab w:val="clear" w:pos="720"/>
        </w:tabs>
        <w:rPr>
          <w:rFonts w:hint="eastAsia"/>
        </w:rPr>
      </w:pPr>
      <w:bookmarkStart w:id="43" w:name="_Toc392853116"/>
      <w:r>
        <w:rPr>
          <w:rFonts w:hint="eastAsia"/>
        </w:rPr>
        <w:t>世界储能产业现状与技术水平</w:t>
      </w:r>
      <w:bookmarkEnd w:id="43"/>
    </w:p>
    <w:p w:rsidR="00CA619C" w:rsidRDefault="00CA619C" w:rsidP="00CA619C">
      <w:pPr>
        <w:ind w:firstLine="480"/>
        <w:rPr>
          <w:rFonts w:ascii="宋体" w:hAnsi="宋体"/>
          <w:color w:val="000000"/>
        </w:rPr>
      </w:pPr>
      <w:r>
        <w:rPr>
          <w:rFonts w:ascii="宋体" w:hAnsi="宋体" w:hint="eastAsia"/>
          <w:color w:val="000000"/>
        </w:rPr>
        <w:t>鉴于储能在能源结构以及电网安全等方面的重要作用,几十年来很多国家都对储能技术，特别是对化学储能技术及产品给予关注与研发支持，持续推动着储能技术及产业的发展。</w:t>
      </w:r>
    </w:p>
    <w:p w:rsidR="00CA619C" w:rsidRDefault="00CA619C" w:rsidP="00CA619C">
      <w:pPr>
        <w:ind w:firstLine="480"/>
        <w:rPr>
          <w:rFonts w:ascii="宋体" w:hAnsi="宋体"/>
          <w:color w:val="000000"/>
        </w:rPr>
      </w:pPr>
      <w:r>
        <w:rPr>
          <w:rFonts w:ascii="宋体" w:hAnsi="宋体" w:hint="eastAsia"/>
          <w:color w:val="000000"/>
        </w:rPr>
        <w:t>美国、日本早在二十世纪80年代就开始了化学储能的研究性试点，但绝大多数是铅酸电池，且应用主要集中在电网本身调度中的一些能量管理问题，如削峰，调频，旋转备用，黑启动，负荷跟踪，负载均衡。直到2005年，日本出现了第一例为新能源并网应用的储能示范项目，该项目采用钒电池，主要用于应对风电上网的典型问题：爬坡速率减缓和调频，规模为</w:t>
      </w:r>
      <w:r>
        <w:rPr>
          <w:rFonts w:ascii="宋体" w:hAnsi="宋体"/>
          <w:color w:val="000000"/>
        </w:rPr>
        <w:t>4 MW/6 MWh(6MWx30</w:t>
      </w:r>
      <w:r>
        <w:rPr>
          <w:rFonts w:ascii="宋体" w:hAnsi="宋体" w:hint="eastAsia"/>
          <w:color w:val="000000"/>
        </w:rPr>
        <w:t xml:space="preserve">秒)。 </w:t>
      </w:r>
    </w:p>
    <w:p w:rsidR="00CA619C" w:rsidRDefault="00CA619C" w:rsidP="00CA619C">
      <w:pPr>
        <w:ind w:firstLine="480"/>
        <w:rPr>
          <w:rFonts w:hint="eastAsia"/>
        </w:rPr>
      </w:pPr>
      <w:r>
        <w:rPr>
          <w:rFonts w:hint="eastAsia"/>
        </w:rPr>
        <w:t>美国在</w:t>
      </w:r>
      <w:r>
        <w:rPr>
          <w:rFonts w:hint="eastAsia"/>
        </w:rPr>
        <w:t>1999</w:t>
      </w:r>
      <w:r>
        <w:rPr>
          <w:rFonts w:hint="eastAsia"/>
        </w:rPr>
        <w:t>年出现了其它化学储能技术的示范项目，包括锂电池，锌溴电池</w:t>
      </w:r>
      <w:r>
        <w:t>(ZnBr),</w:t>
      </w:r>
      <w:r>
        <w:rPr>
          <w:rFonts w:hint="eastAsia"/>
        </w:rPr>
        <w:t>镍镉电池</w:t>
      </w:r>
      <w:r>
        <w:rPr>
          <w:rFonts w:hint="eastAsia"/>
        </w:rPr>
        <w:t>(NiCd)</w:t>
      </w:r>
      <w:r>
        <w:rPr>
          <w:rFonts w:hint="eastAsia"/>
        </w:rPr>
        <w:t>和镍氢电池</w:t>
      </w:r>
      <w:r>
        <w:t>(NiMh),</w:t>
      </w:r>
      <w:r>
        <w:rPr>
          <w:rFonts w:hint="eastAsia"/>
        </w:rPr>
        <w:t>但主要还是用于常规能源条件下电网调度本身的能量管理。至</w:t>
      </w:r>
      <w:r>
        <w:rPr>
          <w:rFonts w:hint="eastAsia"/>
        </w:rPr>
        <w:t>2009</w:t>
      </w:r>
      <w:r>
        <w:rPr>
          <w:rFonts w:hint="eastAsia"/>
        </w:rPr>
        <w:t>年后，各种技术进一步发展，大量新应用的示范项目在各个层面开展，包括：钠硫，氯化钠／镍，高级铅酸，高级锂电等技术从研发实验性应用到大规模新能源并网，以及分布式能源等智能电网范畴的各类示范性项目，乃至涵盖能源套利和电网投资资本递延的市场和其经济性的相关的试点遍布美国各州。美国基于战略发展立足长远考虑，长期在储能领域的研究和系统的试点项目的这些部署，使美国对各种储能技术从技术特点和应用场景及经济性的评估等多角度积累了大量的数据和经验，为其今后形成具有实践意义的行业标准及有效选取相应应用储能技术的方法论打下了坚实的基础。</w:t>
      </w:r>
      <w:r>
        <w:rPr>
          <w:rFonts w:hint="eastAsia"/>
        </w:rPr>
        <w:t xml:space="preserve"> </w:t>
      </w:r>
      <w:r>
        <w:rPr>
          <w:rFonts w:hint="eastAsia"/>
        </w:rPr>
        <w:t>同时，这些针对储能应用的试点项目为产业的相关利益者及民众对未来能源的生产和利用方式下储能的关键性作用有了更加清晰的认识，从而将能够有效提升市场对储能的需求，进而带动各种投资推动整个产业进入良性发展模式。</w:t>
      </w:r>
    </w:p>
    <w:p w:rsidR="00CA619C" w:rsidRDefault="00CA619C" w:rsidP="00CA619C">
      <w:pPr>
        <w:ind w:firstLine="480"/>
        <w:rPr>
          <w:rFonts w:ascii="宋体" w:hAnsi="宋体"/>
          <w:color w:val="000000"/>
        </w:rPr>
      </w:pPr>
      <w:r>
        <w:rPr>
          <w:rFonts w:ascii="宋体" w:hAnsi="宋体" w:hint="eastAsia"/>
          <w:color w:val="000000"/>
        </w:rPr>
        <w:t>欧洲在可再生能源利用方面一直走在世界的前列。由于可再生能源电源所占比例不断提高，其不稳定的特性给电网造成了极大的冲击，使得德国、爱尔兰等国家近几年积极寻找储能技术建立大规模试点项目。如2006 年底VRB Power Systems 公司开始为爱尔兰建设迄今为止国际上最大的额定输出功率2MW(脉冲输出功率3MW)，储能容量12MW·h全钒液流储能电池系统；德国EVONIK 工业股份公司宣布将联合戴姆勒汽车公司等研发机构共同开发适用于风能和太阳能发电的大容量、低成本储存的锂离子电池电站，先期计划在德国西部的萨尔州建造一个功率为1MW的储能装置。</w:t>
      </w:r>
      <w:r>
        <w:rPr>
          <w:color w:val="000000"/>
        </w:rPr>
        <w:footnoteReference w:id="10"/>
      </w:r>
      <w:r>
        <w:rPr>
          <w:rFonts w:ascii="宋体" w:hAnsi="宋体" w:hint="eastAsia"/>
          <w:color w:val="000000"/>
        </w:rPr>
        <w:t>欧洲很多国家已经认识到储能的重要性，在法规法案中将储能技术的研发放到了重点位置，也有相应的产业政策予以支持。可以预见，在不久的将来储能技术和应用会在欧洲出现规模化的发展。</w:t>
      </w:r>
    </w:p>
    <w:p w:rsidR="00CA619C" w:rsidRDefault="00CA619C" w:rsidP="00CA619C">
      <w:pPr>
        <w:ind w:firstLine="480"/>
        <w:rPr>
          <w:rFonts w:ascii="宋体" w:hAnsi="宋体"/>
          <w:color w:val="000000"/>
          <w:vertAlign w:val="superscript"/>
        </w:rPr>
      </w:pPr>
      <w:r>
        <w:rPr>
          <w:rFonts w:ascii="宋体" w:hAnsi="宋体" w:hint="eastAsia"/>
          <w:color w:val="000000"/>
        </w:rPr>
        <w:t>尽管储能技术在美国、日本一直不断演进与发展，未来在欧洲也有可以预见的、广阔的发展空间，但目前在全球，各类储能技术中，只有抽水蓄能与压缩空气储能最为成熟，化学电池储能则由于材料、成本及特定应用领域等方面的限制在全球的装机并不高,许多新技术还处于研发或商业化初期阶段。截止到2011年5月，全球储能装机超过125GW，抽水蓄能主导了全球储能市场，占安装储能技术的</w:t>
      </w:r>
      <w:r>
        <w:rPr>
          <w:rFonts w:ascii="宋体" w:hAnsi="宋体"/>
          <w:color w:val="000000"/>
        </w:rPr>
        <w:t>98%。日本（23GW）和西欧（13GW）主导着全球抽水蓄能的部署工作</w:t>
      </w:r>
      <w:r>
        <w:rPr>
          <w:rFonts w:ascii="宋体" w:hAnsi="宋体" w:hint="eastAsia"/>
          <w:color w:val="000000"/>
        </w:rPr>
        <w:t>。飞轮和锂电池用于调频是目前储能市场中增长最快的应用方式。这种“快速储存”的应用方式比常规化石燃料电厂更经济有效，同时还能降低温室气体排放。在空调系统中，热能削峰填谷的应用，能突出其显著的优势，在夏季高峰负荷时期，当电网忙于支持最大的电力负荷时，制冷储存则能发挥其显著优势。下表是估算的全球储能装机容量。</w:t>
      </w:r>
      <w:r>
        <w:rPr>
          <w:color w:val="000000"/>
          <w:vertAlign w:val="superscript"/>
        </w:rPr>
        <w:footnoteReference w:id="11"/>
      </w:r>
    </w:p>
    <w:p w:rsidR="00CA619C" w:rsidRDefault="00CA619C" w:rsidP="00CA619C">
      <w:pPr>
        <w:ind w:firstLine="480"/>
        <w:jc w:val="center"/>
      </w:pPr>
      <w:r>
        <w:rPr>
          <w:noProof/>
          <w:lang w:eastAsia="en-US"/>
        </w:rPr>
        <w:drawing>
          <wp:inline distT="0" distB="0" distL="0" distR="0">
            <wp:extent cx="4650740" cy="1891665"/>
            <wp:effectExtent l="0" t="0" r="0" b="0"/>
            <wp:docPr id="23"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38">
                      <a:extLst>
                        <a:ext uri="{28A0092B-C50C-407E-A947-70E740481C1C}">
                          <a14:useLocalDpi xmlns:a14="http://schemas.microsoft.com/office/drawing/2010/main" val="0"/>
                        </a:ext>
                      </a:extLst>
                    </a:blip>
                    <a:srcRect l="5205" t="9389" r="961" b="12848"/>
                    <a:stretch>
                      <a:fillRect/>
                    </a:stretch>
                  </pic:blipFill>
                  <pic:spPr bwMode="auto">
                    <a:xfrm>
                      <a:off x="0" y="0"/>
                      <a:ext cx="4650740" cy="1891665"/>
                    </a:xfrm>
                    <a:prstGeom prst="rect">
                      <a:avLst/>
                    </a:prstGeom>
                    <a:noFill/>
                    <a:ln>
                      <a:noFill/>
                    </a:ln>
                  </pic:spPr>
                </pic:pic>
              </a:graphicData>
            </a:graphic>
          </wp:inline>
        </w:drawing>
      </w:r>
    </w:p>
    <w:p w:rsidR="00CA619C" w:rsidRDefault="00CA619C" w:rsidP="00CA619C">
      <w:pPr>
        <w:pStyle w:val="a3"/>
        <w:tabs>
          <w:tab w:val="left" w:pos="425"/>
        </w:tabs>
      </w:pPr>
      <w:bookmarkStart w:id="44" w:name="_Toc343438114"/>
      <w:bookmarkStart w:id="45" w:name="_Toc392853207"/>
      <w:r>
        <w:rPr>
          <w:rFonts w:hint="eastAsia"/>
        </w:rPr>
        <w:t>2011</w:t>
      </w:r>
      <w:r>
        <w:rPr>
          <w:rFonts w:hint="eastAsia"/>
        </w:rPr>
        <w:t>年全球电网储能装机容量</w:t>
      </w:r>
      <w:bookmarkEnd w:id="44"/>
      <w:bookmarkEnd w:id="45"/>
    </w:p>
    <w:p w:rsidR="00CA619C" w:rsidRDefault="00CA619C" w:rsidP="00CA619C">
      <w:pPr>
        <w:pStyle w:val="a2"/>
        <w:ind w:left="840"/>
        <w:rPr>
          <w:rFonts w:eastAsia="宋体" w:hint="eastAsia"/>
        </w:rPr>
      </w:pPr>
      <w:r>
        <w:rPr>
          <w:rFonts w:eastAsia="宋体" w:hint="eastAsia"/>
        </w:rPr>
        <w:t>（资料来源：StrateGen consulting 2011。）</w:t>
      </w:r>
    </w:p>
    <w:p w:rsidR="00CA619C" w:rsidRDefault="00CA619C" w:rsidP="00CA619C">
      <w:pPr>
        <w:pStyle w:val="a2"/>
        <w:ind w:left="840"/>
        <w:rPr>
          <w:rFonts w:eastAsia="宋体"/>
        </w:rPr>
      </w:pPr>
      <w:r>
        <w:rPr>
          <w:rFonts w:eastAsia="宋体" w:hint="eastAsia"/>
        </w:rPr>
        <w:t>（注：预测中包括仅供制冷的热储能，图中数据截止到2010年4月。单位：兆瓦）</w:t>
      </w:r>
    </w:p>
    <w:p w:rsidR="00CA619C" w:rsidRDefault="00CA619C" w:rsidP="00CA619C">
      <w:pPr>
        <w:ind w:firstLine="480"/>
        <w:rPr>
          <w:rFonts w:hint="eastAsia"/>
        </w:rPr>
      </w:pPr>
      <w:r>
        <w:rPr>
          <w:rFonts w:hint="eastAsia"/>
        </w:rPr>
        <w:t>目前，美国储能技术以电池、抽水蓄能为主，也有飞轮等其他形式的储能。</w:t>
      </w:r>
    </w:p>
    <w:p w:rsidR="00CA619C" w:rsidRDefault="00CA619C" w:rsidP="00CA619C">
      <w:pPr>
        <w:ind w:firstLine="480"/>
        <w:rPr>
          <w:rFonts w:hint="eastAsia"/>
        </w:rPr>
      </w:pPr>
      <w:r>
        <w:rPr>
          <w:rFonts w:hint="eastAsia"/>
        </w:rPr>
        <w:t>其中，电池储能主要应用于新能源并网、分布式能源、电网“削峰填谷”，和电力系统的电能质量管理。例如，美国佛罗里达州建造了</w:t>
      </w:r>
      <w:r>
        <w:rPr>
          <w:rFonts w:hint="eastAsia"/>
        </w:rPr>
        <w:t>2*5kW*4h</w:t>
      </w:r>
      <w:r>
        <w:rPr>
          <w:rFonts w:hint="eastAsia"/>
        </w:rPr>
        <w:t>全钒液流电池储能系统，用于光伏并网发电，该系统于</w:t>
      </w:r>
      <w:r>
        <w:rPr>
          <w:rFonts w:hint="eastAsia"/>
        </w:rPr>
        <w:t>2007</w:t>
      </w:r>
      <w:r>
        <w:rPr>
          <w:rFonts w:hint="eastAsia"/>
        </w:rPr>
        <w:t>年投入运行，对于平滑输出和储能发挥了重要作用。离网式分布式能源主要应用电池储能，例如，美国</w:t>
      </w:r>
      <w:r>
        <w:rPr>
          <w:rFonts w:hint="eastAsia"/>
        </w:rPr>
        <w:t>AEP</w:t>
      </w:r>
      <w:r>
        <w:rPr>
          <w:rFonts w:hint="eastAsia"/>
        </w:rPr>
        <w:t>公司将于</w:t>
      </w:r>
      <w:r>
        <w:rPr>
          <w:rFonts w:hint="eastAsia"/>
        </w:rPr>
        <w:t>2010</w:t>
      </w:r>
      <w:r>
        <w:rPr>
          <w:rFonts w:hint="eastAsia"/>
        </w:rPr>
        <w:t>年建成以锂离子电池进行储能的</w:t>
      </w:r>
      <w:r>
        <w:rPr>
          <w:rFonts w:hint="eastAsia"/>
        </w:rPr>
        <w:t>3MW</w:t>
      </w:r>
      <w:r>
        <w:rPr>
          <w:rFonts w:hint="eastAsia"/>
        </w:rPr>
        <w:t>社区储能系统</w:t>
      </w:r>
      <w:r>
        <w:rPr>
          <w:rFonts w:hint="eastAsia"/>
        </w:rPr>
        <w:t>(CES)</w:t>
      </w:r>
      <w:r>
        <w:rPr>
          <w:rFonts w:hint="eastAsia"/>
        </w:rPr>
        <w:t>，该储能系统主要是用于社区分布式能源。夏威夷毛伊岛安装了一个</w:t>
      </w:r>
      <w:r>
        <w:rPr>
          <w:rFonts w:hint="eastAsia"/>
        </w:rPr>
        <w:t>1.5</w:t>
      </w:r>
      <w:r>
        <w:rPr>
          <w:rFonts w:hint="eastAsia"/>
        </w:rPr>
        <w:t>万千瓦的储能电池系统，和从瓦胡岛风电场购买的电力配套运行。该风电场装机容量为</w:t>
      </w:r>
      <w:r>
        <w:rPr>
          <w:rFonts w:hint="eastAsia"/>
        </w:rPr>
        <w:t>3</w:t>
      </w:r>
      <w:r>
        <w:rPr>
          <w:rFonts w:hint="eastAsia"/>
        </w:rPr>
        <w:t>万千瓦，计算机将保持电池在一天中的大多数时间处于半充电状态。如果风力骤然增强或减弱，电池将平稳电流。该储能装置的成功之处在于其拥有频率调节功能。电池系统可以在电价较低时储存电力，而在电价较高时送出电力。该电池系统可以容纳</w:t>
      </w:r>
      <w:r>
        <w:rPr>
          <w:rFonts w:hint="eastAsia"/>
        </w:rPr>
        <w:t>1</w:t>
      </w:r>
      <w:r>
        <w:rPr>
          <w:rFonts w:hint="eastAsia"/>
        </w:rPr>
        <w:t>万千瓦时的电量，相当于一个</w:t>
      </w:r>
      <w:r>
        <w:rPr>
          <w:rFonts w:hint="eastAsia"/>
        </w:rPr>
        <w:t>3</w:t>
      </w:r>
      <w:r>
        <w:rPr>
          <w:rFonts w:hint="eastAsia"/>
        </w:rPr>
        <w:t>万千瓦的风电场满负荷运行</w:t>
      </w:r>
      <w:r>
        <w:rPr>
          <w:rFonts w:hint="eastAsia"/>
        </w:rPr>
        <w:t>20</w:t>
      </w:r>
      <w:r>
        <w:rPr>
          <w:rFonts w:hint="eastAsia"/>
        </w:rPr>
        <w:t>分钟产生的电力。在阿拉斯加费尔班克斯市有一个重达</w:t>
      </w:r>
      <w:r>
        <w:rPr>
          <w:rFonts w:hint="eastAsia"/>
        </w:rPr>
        <w:t>1400</w:t>
      </w:r>
      <w:r>
        <w:rPr>
          <w:rFonts w:hint="eastAsia"/>
        </w:rPr>
        <w:t>吨的镍镉电池储能系统，占地面积相当于一个足球场，可以满足</w:t>
      </w:r>
      <w:r>
        <w:rPr>
          <w:rFonts w:hint="eastAsia"/>
        </w:rPr>
        <w:t>4</w:t>
      </w:r>
      <w:r>
        <w:rPr>
          <w:rFonts w:hint="eastAsia"/>
        </w:rPr>
        <w:t>万千瓦的电力需求。该系统已安装两年，避免了</w:t>
      </w:r>
      <w:r>
        <w:rPr>
          <w:rFonts w:hint="eastAsia"/>
        </w:rPr>
        <w:t>81</w:t>
      </w:r>
      <w:r>
        <w:rPr>
          <w:rFonts w:hint="eastAsia"/>
        </w:rPr>
        <w:t>次停电事故。</w:t>
      </w:r>
      <w:r>
        <w:rPr>
          <w:rFonts w:hint="eastAsia"/>
        </w:rPr>
        <w:t>2010</w:t>
      </w:r>
      <w:r>
        <w:rPr>
          <w:rFonts w:hint="eastAsia"/>
        </w:rPr>
        <w:t>年</w:t>
      </w:r>
      <w:r>
        <w:rPr>
          <w:rFonts w:hint="eastAsia"/>
        </w:rPr>
        <w:t>3</w:t>
      </w:r>
      <w:r>
        <w:rPr>
          <w:rFonts w:hint="eastAsia"/>
        </w:rPr>
        <w:t>月，美国德克萨斯州安装了由</w:t>
      </w:r>
      <w:r>
        <w:rPr>
          <w:rFonts w:hint="eastAsia"/>
        </w:rPr>
        <w:t>80</w:t>
      </w:r>
      <w:r>
        <w:rPr>
          <w:rFonts w:hint="eastAsia"/>
        </w:rPr>
        <w:t>个电池模块组成的容量为</w:t>
      </w:r>
      <w:r>
        <w:rPr>
          <w:rFonts w:hint="eastAsia"/>
        </w:rPr>
        <w:t>4MW</w:t>
      </w:r>
      <w:r>
        <w:rPr>
          <w:rFonts w:hint="eastAsia"/>
        </w:rPr>
        <w:t>的钠硫电池储能系统，可以持续供电</w:t>
      </w:r>
      <w:r>
        <w:rPr>
          <w:rFonts w:hint="eastAsia"/>
        </w:rPr>
        <w:t>8</w:t>
      </w:r>
      <w:r>
        <w:rPr>
          <w:rFonts w:hint="eastAsia"/>
        </w:rPr>
        <w:t>小时。</w:t>
      </w:r>
    </w:p>
    <w:p w:rsidR="00CA619C" w:rsidRDefault="00CA619C" w:rsidP="00CA619C">
      <w:pPr>
        <w:ind w:firstLine="480"/>
        <w:rPr>
          <w:rFonts w:hint="eastAsia"/>
        </w:rPr>
      </w:pPr>
      <w:r>
        <w:rPr>
          <w:rFonts w:hint="eastAsia"/>
        </w:rPr>
        <w:t>美国使用的另外一种储能技术是抽水蓄能。目前，效率最高的储能形式当属抽水蓄能电站，其效率在</w:t>
      </w:r>
      <w:r>
        <w:rPr>
          <w:rFonts w:hint="eastAsia"/>
        </w:rPr>
        <w:t>70%</w:t>
      </w:r>
      <w:r>
        <w:rPr>
          <w:rFonts w:hint="eastAsia"/>
        </w:rPr>
        <w:t>到</w:t>
      </w:r>
      <w:r>
        <w:rPr>
          <w:rFonts w:hint="eastAsia"/>
        </w:rPr>
        <w:t>85%</w:t>
      </w:r>
      <w:r>
        <w:rPr>
          <w:rFonts w:hint="eastAsia"/>
        </w:rPr>
        <w:t>之间。加州最大的抽水蓄能设施之一是海尔姆斯</w:t>
      </w:r>
      <w:r>
        <w:rPr>
          <w:rFonts w:hint="eastAsia"/>
        </w:rPr>
        <w:t>(Helms)</w:t>
      </w:r>
      <w:r>
        <w:rPr>
          <w:rFonts w:hint="eastAsia"/>
        </w:rPr>
        <w:t>抽水蓄能设施。该设施通过发电模式可产生</w:t>
      </w:r>
      <w:r>
        <w:rPr>
          <w:rFonts w:hint="eastAsia"/>
        </w:rPr>
        <w:t>120</w:t>
      </w:r>
      <w:r>
        <w:rPr>
          <w:rFonts w:hint="eastAsia"/>
        </w:rPr>
        <w:t>万千瓦的电力，通过泵送模式可产生</w:t>
      </w:r>
      <w:r>
        <w:rPr>
          <w:rFonts w:hint="eastAsia"/>
        </w:rPr>
        <w:t>93</w:t>
      </w:r>
      <w:r>
        <w:rPr>
          <w:rFonts w:hint="eastAsia"/>
        </w:rPr>
        <w:t>万千瓦的电力。太平洋燃气与电力公司</w:t>
      </w:r>
      <w:r>
        <w:rPr>
          <w:rFonts w:hint="eastAsia"/>
        </w:rPr>
        <w:t>(PG&amp;E)</w:t>
      </w:r>
      <w:r>
        <w:rPr>
          <w:rFonts w:hint="eastAsia"/>
        </w:rPr>
        <w:t>在加州东部莫凯勒米河</w:t>
      </w:r>
      <w:r>
        <w:rPr>
          <w:rFonts w:hint="eastAsia"/>
        </w:rPr>
        <w:t>(Mokelumne River)</w:t>
      </w:r>
      <w:r>
        <w:rPr>
          <w:rFonts w:hint="eastAsia"/>
        </w:rPr>
        <w:t>建设</w:t>
      </w:r>
      <w:r>
        <w:rPr>
          <w:rFonts w:hint="eastAsia"/>
        </w:rPr>
        <w:t>40</w:t>
      </w:r>
      <w:r>
        <w:rPr>
          <w:rFonts w:hint="eastAsia"/>
        </w:rPr>
        <w:t>万千瓦到</w:t>
      </w:r>
      <w:r>
        <w:rPr>
          <w:rFonts w:hint="eastAsia"/>
        </w:rPr>
        <w:t>120</w:t>
      </w:r>
      <w:r>
        <w:rPr>
          <w:rFonts w:hint="eastAsia"/>
        </w:rPr>
        <w:t>万千瓦的抽水蓄能电站进行可行性研究，该项目将有助于应对日益增长的太阳能和风能发电。</w:t>
      </w:r>
    </w:p>
    <w:p w:rsidR="00CA619C" w:rsidRDefault="00CA619C" w:rsidP="00CA619C">
      <w:pPr>
        <w:ind w:firstLine="480"/>
        <w:rPr>
          <w:rFonts w:ascii="宋体" w:hAnsi="宋体" w:hint="eastAsia"/>
          <w:color w:val="000000"/>
        </w:rPr>
      </w:pPr>
      <w:r>
        <w:rPr>
          <w:rFonts w:hint="eastAsia"/>
        </w:rPr>
        <w:t>此外，美国还使用其他方法储存电力。纽约州的一家电力公司建设一座由</w:t>
      </w:r>
      <w:r>
        <w:rPr>
          <w:rFonts w:hint="eastAsia"/>
        </w:rPr>
        <w:t>200</w:t>
      </w:r>
      <w:r>
        <w:rPr>
          <w:rFonts w:hint="eastAsia"/>
        </w:rPr>
        <w:t>个飞轮组成的电力储存装置。每个飞轮上方安装一种可交替作为发电机或电动机使用的装置，能够在飞轮里储存或获取能量。美国能源部为两个压缩空气储能项目提供资金支持，其中一个是为纽约州北部耗资</w:t>
      </w:r>
      <w:r>
        <w:rPr>
          <w:rFonts w:hint="eastAsia"/>
        </w:rPr>
        <w:t>1.25</w:t>
      </w:r>
      <w:r>
        <w:rPr>
          <w:rFonts w:hint="eastAsia"/>
        </w:rPr>
        <w:t>亿美元的</w:t>
      </w:r>
      <w:r>
        <w:rPr>
          <w:rFonts w:hint="eastAsia"/>
        </w:rPr>
        <w:t>15</w:t>
      </w:r>
      <w:r>
        <w:rPr>
          <w:rFonts w:hint="eastAsia"/>
        </w:rPr>
        <w:t>万千瓦的项目提供</w:t>
      </w:r>
      <w:r>
        <w:rPr>
          <w:rFonts w:hint="eastAsia"/>
        </w:rPr>
        <w:t>3000</w:t>
      </w:r>
      <w:r>
        <w:rPr>
          <w:rFonts w:hint="eastAsia"/>
        </w:rPr>
        <w:t>万美元支持，另一个是为北加州耗资</w:t>
      </w:r>
      <w:r>
        <w:rPr>
          <w:rFonts w:hint="eastAsia"/>
        </w:rPr>
        <w:t>3.5</w:t>
      </w:r>
      <w:r>
        <w:rPr>
          <w:rFonts w:hint="eastAsia"/>
        </w:rPr>
        <w:t>亿美元的</w:t>
      </w:r>
      <w:r>
        <w:rPr>
          <w:rFonts w:hint="eastAsia"/>
        </w:rPr>
        <w:t>30</w:t>
      </w:r>
      <w:r>
        <w:rPr>
          <w:rFonts w:hint="eastAsia"/>
        </w:rPr>
        <w:t>万千瓦的项目提供</w:t>
      </w:r>
      <w:r>
        <w:rPr>
          <w:rFonts w:hint="eastAsia"/>
        </w:rPr>
        <w:t>2500</w:t>
      </w:r>
      <w:r>
        <w:rPr>
          <w:rFonts w:hint="eastAsia"/>
        </w:rPr>
        <w:t>万美元支持。这两个项目都在负荷低谷时段储存电力，并在负荷高峰时段送出电力。</w:t>
      </w:r>
    </w:p>
    <w:p w:rsidR="00CA619C" w:rsidRDefault="00CA619C" w:rsidP="00CA619C">
      <w:pPr>
        <w:ind w:firstLine="480"/>
        <w:rPr>
          <w:rFonts w:ascii="宋体" w:hAnsi="宋体" w:hint="eastAsia"/>
          <w:color w:val="000000"/>
        </w:rPr>
      </w:pPr>
      <w:r>
        <w:rPr>
          <w:rFonts w:ascii="宋体" w:hAnsi="宋体" w:hint="eastAsia"/>
          <w:color w:val="000000"/>
        </w:rPr>
        <w:t>目前，美国电力电网中储能安装总容量超过23GW，且96%以上是抽水蓄能。</w:t>
      </w:r>
    </w:p>
    <w:p w:rsidR="00CA619C" w:rsidRDefault="00CA619C" w:rsidP="00CA619C">
      <w:pPr>
        <w:pStyle w:val="a"/>
        <w:rPr>
          <w:rFonts w:hint="eastAsia"/>
        </w:rPr>
      </w:pPr>
      <w:bookmarkStart w:id="46" w:name="_Toc343438150"/>
      <w:bookmarkStart w:id="47" w:name="_Toc31545"/>
      <w:bookmarkStart w:id="48" w:name="_Toc28198"/>
      <w:bookmarkStart w:id="49" w:name="_Toc392853322"/>
      <w:r>
        <w:rPr>
          <w:rFonts w:hint="eastAsia"/>
        </w:rPr>
        <w:t>美国电网储能装机容量</w:t>
      </w:r>
      <w:bookmarkEnd w:id="46"/>
      <w:bookmarkEnd w:id="47"/>
      <w:bookmarkEnd w:id="48"/>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CA619C" w:rsidTr="00CA619C">
        <w:tc>
          <w:tcPr>
            <w:tcW w:w="4261" w:type="dxa"/>
            <w:tcBorders>
              <w:bottom w:val="single" w:sz="6" w:space="0" w:color="808080"/>
            </w:tcBorders>
          </w:tcPr>
          <w:p w:rsidR="00CA619C" w:rsidRDefault="00CA619C" w:rsidP="00CA619C">
            <w:pPr>
              <w:ind w:firstLine="519"/>
              <w:jc w:val="center"/>
              <w:rPr>
                <w:rFonts w:ascii="宋体" w:hAnsi="宋体"/>
                <w:b/>
                <w:bCs/>
                <w:iCs/>
              </w:rPr>
            </w:pPr>
            <w:r>
              <w:rPr>
                <w:rFonts w:ascii="宋体" w:hAnsi="宋体" w:hint="eastAsia"/>
                <w:b/>
                <w:bCs/>
                <w:iCs/>
              </w:rPr>
              <w:t>储能技术类型</w:t>
            </w:r>
          </w:p>
        </w:tc>
        <w:tc>
          <w:tcPr>
            <w:tcW w:w="4261" w:type="dxa"/>
            <w:tcBorders>
              <w:bottom w:val="single" w:sz="6" w:space="0" w:color="808080"/>
            </w:tcBorders>
          </w:tcPr>
          <w:p w:rsidR="00CA619C" w:rsidRDefault="00CA619C" w:rsidP="00CA619C">
            <w:pPr>
              <w:ind w:firstLine="519"/>
              <w:jc w:val="center"/>
              <w:rPr>
                <w:rFonts w:ascii="宋体" w:hAnsi="宋体"/>
                <w:b/>
                <w:bCs/>
                <w:iCs/>
              </w:rPr>
            </w:pPr>
            <w:r>
              <w:rPr>
                <w:rFonts w:ascii="宋体" w:hAnsi="宋体" w:hint="eastAsia"/>
                <w:b/>
                <w:bCs/>
                <w:iCs/>
              </w:rPr>
              <w:t>容量（MW）</w:t>
            </w:r>
          </w:p>
        </w:tc>
      </w:tr>
      <w:tr w:rsidR="00CA619C" w:rsidTr="00CA619C">
        <w:tc>
          <w:tcPr>
            <w:tcW w:w="4261" w:type="dxa"/>
          </w:tcPr>
          <w:p w:rsidR="00CA619C" w:rsidRDefault="00CA619C" w:rsidP="00CA619C">
            <w:pPr>
              <w:ind w:firstLine="480"/>
              <w:jc w:val="center"/>
              <w:rPr>
                <w:rFonts w:ascii="宋体" w:hAnsi="宋体"/>
                <w:bCs/>
              </w:rPr>
            </w:pPr>
            <w:r>
              <w:rPr>
                <w:rFonts w:ascii="宋体" w:hAnsi="宋体" w:hint="eastAsia"/>
                <w:bCs/>
              </w:rPr>
              <w:t>抽水蓄能</w:t>
            </w:r>
          </w:p>
        </w:tc>
        <w:tc>
          <w:tcPr>
            <w:tcW w:w="4261" w:type="dxa"/>
          </w:tcPr>
          <w:p w:rsidR="00CA619C" w:rsidRDefault="00CA619C" w:rsidP="00CA619C">
            <w:pPr>
              <w:ind w:firstLine="480"/>
              <w:jc w:val="center"/>
              <w:rPr>
                <w:rFonts w:ascii="宋体" w:hAnsi="宋体"/>
              </w:rPr>
            </w:pPr>
            <w:r>
              <w:rPr>
                <w:rFonts w:ascii="宋体" w:hAnsi="宋体" w:hint="eastAsia"/>
              </w:rPr>
              <w:t>22000</w:t>
            </w:r>
          </w:p>
        </w:tc>
      </w:tr>
      <w:tr w:rsidR="00CA619C" w:rsidTr="00CA619C">
        <w:tc>
          <w:tcPr>
            <w:tcW w:w="4261" w:type="dxa"/>
          </w:tcPr>
          <w:p w:rsidR="00CA619C" w:rsidRDefault="00CA619C" w:rsidP="00CA619C">
            <w:pPr>
              <w:ind w:firstLine="480"/>
              <w:jc w:val="center"/>
              <w:rPr>
                <w:rFonts w:ascii="宋体" w:hAnsi="宋体"/>
                <w:bCs/>
              </w:rPr>
            </w:pPr>
            <w:r>
              <w:rPr>
                <w:rFonts w:ascii="宋体" w:hAnsi="宋体" w:hint="eastAsia"/>
                <w:bCs/>
              </w:rPr>
              <w:t>压缩空气</w:t>
            </w:r>
          </w:p>
        </w:tc>
        <w:tc>
          <w:tcPr>
            <w:tcW w:w="4261" w:type="dxa"/>
          </w:tcPr>
          <w:p w:rsidR="00CA619C" w:rsidRDefault="00CA619C" w:rsidP="00CA619C">
            <w:pPr>
              <w:ind w:firstLine="480"/>
              <w:jc w:val="center"/>
              <w:rPr>
                <w:rFonts w:ascii="宋体" w:hAnsi="宋体"/>
              </w:rPr>
            </w:pPr>
            <w:r>
              <w:rPr>
                <w:rFonts w:ascii="宋体" w:hAnsi="宋体" w:hint="eastAsia"/>
              </w:rPr>
              <w:t>115</w:t>
            </w:r>
          </w:p>
        </w:tc>
      </w:tr>
      <w:tr w:rsidR="00CA619C" w:rsidTr="00CA619C">
        <w:tc>
          <w:tcPr>
            <w:tcW w:w="4261" w:type="dxa"/>
          </w:tcPr>
          <w:p w:rsidR="00CA619C" w:rsidRDefault="00CA619C" w:rsidP="00CA619C">
            <w:pPr>
              <w:ind w:firstLine="480"/>
              <w:jc w:val="center"/>
              <w:rPr>
                <w:rFonts w:ascii="宋体" w:hAnsi="宋体"/>
                <w:bCs/>
              </w:rPr>
            </w:pPr>
            <w:r>
              <w:rPr>
                <w:rFonts w:ascii="宋体" w:hAnsi="宋体" w:hint="eastAsia"/>
                <w:bCs/>
              </w:rPr>
              <w:t>锂离子电池</w:t>
            </w:r>
          </w:p>
        </w:tc>
        <w:tc>
          <w:tcPr>
            <w:tcW w:w="4261" w:type="dxa"/>
          </w:tcPr>
          <w:p w:rsidR="00CA619C" w:rsidRDefault="00CA619C" w:rsidP="00CA619C">
            <w:pPr>
              <w:ind w:firstLine="480"/>
              <w:jc w:val="center"/>
              <w:rPr>
                <w:rFonts w:ascii="宋体" w:hAnsi="宋体"/>
              </w:rPr>
            </w:pPr>
            <w:r>
              <w:rPr>
                <w:rFonts w:ascii="宋体" w:hAnsi="宋体" w:hint="eastAsia"/>
              </w:rPr>
              <w:t>54</w:t>
            </w:r>
          </w:p>
        </w:tc>
      </w:tr>
      <w:tr w:rsidR="00CA619C" w:rsidTr="00CA619C">
        <w:tc>
          <w:tcPr>
            <w:tcW w:w="4261" w:type="dxa"/>
          </w:tcPr>
          <w:p w:rsidR="00CA619C" w:rsidRDefault="00CA619C" w:rsidP="00CA619C">
            <w:pPr>
              <w:ind w:firstLine="480"/>
              <w:jc w:val="center"/>
              <w:rPr>
                <w:rFonts w:ascii="宋体" w:hAnsi="宋体"/>
                <w:bCs/>
              </w:rPr>
            </w:pPr>
            <w:r>
              <w:rPr>
                <w:rFonts w:ascii="宋体" w:hAnsi="宋体" w:hint="eastAsia"/>
                <w:bCs/>
              </w:rPr>
              <w:t>飞轮储能</w:t>
            </w:r>
          </w:p>
        </w:tc>
        <w:tc>
          <w:tcPr>
            <w:tcW w:w="4261" w:type="dxa"/>
          </w:tcPr>
          <w:p w:rsidR="00CA619C" w:rsidRDefault="00CA619C" w:rsidP="00CA619C">
            <w:pPr>
              <w:ind w:firstLine="480"/>
              <w:jc w:val="center"/>
              <w:rPr>
                <w:rFonts w:ascii="宋体" w:hAnsi="宋体"/>
              </w:rPr>
            </w:pPr>
            <w:r>
              <w:rPr>
                <w:rFonts w:ascii="宋体" w:hAnsi="宋体" w:hint="eastAsia"/>
              </w:rPr>
              <w:t>28</w:t>
            </w:r>
          </w:p>
        </w:tc>
      </w:tr>
      <w:tr w:rsidR="00CA619C" w:rsidTr="00CA619C">
        <w:tc>
          <w:tcPr>
            <w:tcW w:w="4261" w:type="dxa"/>
          </w:tcPr>
          <w:p w:rsidR="00CA619C" w:rsidRDefault="00CA619C" w:rsidP="00CA619C">
            <w:pPr>
              <w:ind w:firstLine="480"/>
              <w:jc w:val="center"/>
              <w:rPr>
                <w:rFonts w:ascii="宋体" w:hAnsi="宋体"/>
                <w:bCs/>
              </w:rPr>
            </w:pPr>
            <w:r>
              <w:rPr>
                <w:rFonts w:ascii="宋体" w:hAnsi="宋体" w:hint="eastAsia"/>
                <w:bCs/>
              </w:rPr>
              <w:t>镍镉电池</w:t>
            </w:r>
          </w:p>
        </w:tc>
        <w:tc>
          <w:tcPr>
            <w:tcW w:w="4261" w:type="dxa"/>
          </w:tcPr>
          <w:p w:rsidR="00CA619C" w:rsidRDefault="00CA619C" w:rsidP="00CA619C">
            <w:pPr>
              <w:ind w:firstLine="480"/>
              <w:jc w:val="center"/>
              <w:rPr>
                <w:rFonts w:ascii="宋体" w:hAnsi="宋体"/>
              </w:rPr>
            </w:pPr>
            <w:r>
              <w:rPr>
                <w:rFonts w:ascii="宋体" w:hAnsi="宋体" w:hint="eastAsia"/>
              </w:rPr>
              <w:t>26</w:t>
            </w:r>
          </w:p>
        </w:tc>
      </w:tr>
      <w:tr w:rsidR="00CA619C" w:rsidTr="00CA619C">
        <w:tc>
          <w:tcPr>
            <w:tcW w:w="4261" w:type="dxa"/>
          </w:tcPr>
          <w:p w:rsidR="00CA619C" w:rsidRDefault="00CA619C" w:rsidP="00CA619C">
            <w:pPr>
              <w:ind w:firstLine="480"/>
              <w:jc w:val="center"/>
              <w:rPr>
                <w:rFonts w:ascii="宋体" w:hAnsi="宋体"/>
                <w:bCs/>
              </w:rPr>
            </w:pPr>
            <w:r>
              <w:rPr>
                <w:rFonts w:ascii="宋体" w:hAnsi="宋体" w:hint="eastAsia"/>
                <w:bCs/>
              </w:rPr>
              <w:t>钠硫电池</w:t>
            </w:r>
          </w:p>
        </w:tc>
        <w:tc>
          <w:tcPr>
            <w:tcW w:w="4261" w:type="dxa"/>
          </w:tcPr>
          <w:p w:rsidR="00CA619C" w:rsidRDefault="00CA619C" w:rsidP="00CA619C">
            <w:pPr>
              <w:ind w:firstLine="480"/>
              <w:jc w:val="center"/>
              <w:rPr>
                <w:rFonts w:ascii="宋体" w:hAnsi="宋体"/>
              </w:rPr>
            </w:pPr>
            <w:r>
              <w:rPr>
                <w:rFonts w:ascii="宋体" w:hAnsi="宋体" w:hint="eastAsia"/>
              </w:rPr>
              <w:t>18</w:t>
            </w:r>
          </w:p>
        </w:tc>
      </w:tr>
      <w:tr w:rsidR="00CA619C" w:rsidTr="00CA619C">
        <w:tc>
          <w:tcPr>
            <w:tcW w:w="4261" w:type="dxa"/>
          </w:tcPr>
          <w:p w:rsidR="00CA619C" w:rsidRDefault="00CA619C" w:rsidP="00CA619C">
            <w:pPr>
              <w:ind w:firstLine="480"/>
              <w:jc w:val="center"/>
              <w:rPr>
                <w:rFonts w:ascii="宋体" w:hAnsi="宋体"/>
                <w:bCs/>
              </w:rPr>
            </w:pPr>
            <w:r>
              <w:rPr>
                <w:rFonts w:ascii="宋体" w:hAnsi="宋体" w:hint="eastAsia"/>
                <w:bCs/>
              </w:rPr>
              <w:t>其他（液流电池，铅酸电池）</w:t>
            </w:r>
          </w:p>
        </w:tc>
        <w:tc>
          <w:tcPr>
            <w:tcW w:w="4261" w:type="dxa"/>
          </w:tcPr>
          <w:p w:rsidR="00CA619C" w:rsidRDefault="00CA619C" w:rsidP="00CA619C">
            <w:pPr>
              <w:ind w:firstLine="480"/>
              <w:jc w:val="center"/>
              <w:rPr>
                <w:rFonts w:ascii="宋体" w:hAnsi="宋体"/>
              </w:rPr>
            </w:pPr>
            <w:r>
              <w:rPr>
                <w:rFonts w:ascii="宋体" w:hAnsi="宋体" w:hint="eastAsia"/>
              </w:rPr>
              <w:t>10</w:t>
            </w:r>
          </w:p>
        </w:tc>
      </w:tr>
      <w:tr w:rsidR="00CA619C" w:rsidTr="00CA619C">
        <w:tc>
          <w:tcPr>
            <w:tcW w:w="4261" w:type="dxa"/>
          </w:tcPr>
          <w:p w:rsidR="00CA619C" w:rsidRDefault="00CA619C" w:rsidP="00CA619C">
            <w:pPr>
              <w:ind w:firstLine="480"/>
              <w:jc w:val="center"/>
              <w:rPr>
                <w:rFonts w:ascii="宋体" w:hAnsi="宋体"/>
                <w:bCs/>
              </w:rPr>
            </w:pPr>
            <w:r>
              <w:rPr>
                <w:rFonts w:ascii="宋体" w:hAnsi="宋体" w:hint="eastAsia"/>
                <w:bCs/>
              </w:rPr>
              <w:t>热调峰（冰蓄冷）</w:t>
            </w:r>
          </w:p>
        </w:tc>
        <w:tc>
          <w:tcPr>
            <w:tcW w:w="4261" w:type="dxa"/>
          </w:tcPr>
          <w:p w:rsidR="00CA619C" w:rsidRDefault="00CA619C" w:rsidP="00CA619C">
            <w:pPr>
              <w:ind w:firstLine="480"/>
              <w:jc w:val="center"/>
              <w:rPr>
                <w:rFonts w:ascii="宋体" w:hAnsi="宋体"/>
              </w:rPr>
            </w:pPr>
            <w:r>
              <w:rPr>
                <w:rFonts w:ascii="宋体" w:hAnsi="宋体" w:hint="eastAsia"/>
              </w:rPr>
              <w:t>1000</w:t>
            </w:r>
          </w:p>
        </w:tc>
      </w:tr>
      <w:tr w:rsidR="00CA619C" w:rsidTr="00CA619C">
        <w:tc>
          <w:tcPr>
            <w:tcW w:w="4261" w:type="dxa"/>
          </w:tcPr>
          <w:p w:rsidR="00CA619C" w:rsidRDefault="00CA619C" w:rsidP="00CA619C">
            <w:pPr>
              <w:ind w:firstLine="480"/>
              <w:jc w:val="center"/>
              <w:rPr>
                <w:rFonts w:ascii="宋体" w:hAnsi="宋体"/>
                <w:bCs/>
              </w:rPr>
            </w:pPr>
            <w:r>
              <w:rPr>
                <w:rFonts w:ascii="宋体" w:hAnsi="宋体" w:hint="eastAsia"/>
                <w:bCs/>
              </w:rPr>
              <w:t>总计</w:t>
            </w:r>
          </w:p>
        </w:tc>
        <w:tc>
          <w:tcPr>
            <w:tcW w:w="4261" w:type="dxa"/>
          </w:tcPr>
          <w:p w:rsidR="00CA619C" w:rsidRDefault="00CA619C" w:rsidP="00CA619C">
            <w:pPr>
              <w:ind w:firstLine="480"/>
              <w:jc w:val="center"/>
              <w:rPr>
                <w:rFonts w:ascii="宋体" w:hAnsi="宋体"/>
              </w:rPr>
            </w:pPr>
            <w:r>
              <w:rPr>
                <w:rFonts w:ascii="宋体" w:hAnsi="宋体" w:hint="eastAsia"/>
              </w:rPr>
              <w:t>23251</w:t>
            </w:r>
          </w:p>
        </w:tc>
      </w:tr>
    </w:tbl>
    <w:p w:rsidR="00CA619C" w:rsidRDefault="00CA619C" w:rsidP="00CA619C">
      <w:pPr>
        <w:pStyle w:val="a2"/>
        <w:ind w:left="840"/>
        <w:rPr>
          <w:rFonts w:hint="eastAsia"/>
        </w:rPr>
      </w:pPr>
      <w:r>
        <w:rPr>
          <w:rFonts w:hint="eastAsia"/>
        </w:rPr>
        <w:t>注：分析基于电力储能委员会的数据。</w:t>
      </w:r>
    </w:p>
    <w:p w:rsidR="00CA619C" w:rsidRDefault="00CA619C" w:rsidP="00CA619C">
      <w:pPr>
        <w:pStyle w:val="Heading3"/>
        <w:numPr>
          <w:ilvl w:val="2"/>
          <w:numId w:val="1"/>
        </w:numPr>
        <w:rPr>
          <w:rFonts w:hint="eastAsia"/>
        </w:rPr>
      </w:pPr>
      <w:bookmarkStart w:id="50" w:name="_Toc392853117"/>
      <w:r>
        <w:rPr>
          <w:rFonts w:hint="eastAsia"/>
        </w:rPr>
        <w:t>中国储能产业现状与技术水平</w:t>
      </w:r>
      <w:bookmarkEnd w:id="50"/>
    </w:p>
    <w:p w:rsidR="00CA619C" w:rsidRDefault="00CA619C" w:rsidP="00CA619C">
      <w:pPr>
        <w:pStyle w:val="Heading4"/>
        <w:tabs>
          <w:tab w:val="left" w:pos="864"/>
        </w:tabs>
        <w:rPr>
          <w:rFonts w:hint="eastAsia"/>
        </w:rPr>
      </w:pPr>
      <w:r>
        <w:rPr>
          <w:rFonts w:hint="eastAsia"/>
        </w:rPr>
        <w:t>中国储能产业现状</w:t>
      </w:r>
    </w:p>
    <w:p w:rsidR="00CA619C" w:rsidRDefault="00CA619C" w:rsidP="00CA619C">
      <w:pPr>
        <w:ind w:firstLine="480"/>
        <w:rPr>
          <w:rFonts w:hint="eastAsia"/>
        </w:rPr>
      </w:pPr>
      <w:r>
        <w:rPr>
          <w:rFonts w:hint="eastAsia"/>
        </w:rPr>
        <w:t>目前，我国比较成熟的规模储能技术是抽水蓄能和铅酸电池，技术进步最快的是电化学储能，其中以液流电池、锂离子电池和钠硫电池最为显著。在实际生产及应用方面，尽管我国已经在实验及试用不少电化学储能的关键技术，但整体来看，在实际生产中主要以中低端的镍氢动力电池和铅酸电池主，更大容量的液流电池、锂离子电池、超级电容器等领域的关键技术虽有所突破，但由于缺乏政策支持，未发展到商业化运作和大规模运用的阶段，部分储能技术如磷酸铁锂、液流电池等真正的大规模工业化试用也才刚刚开始，产业化水平相对较低。据储能专委会统计，截止</w:t>
      </w:r>
      <w:r>
        <w:t xml:space="preserve">2010 </w:t>
      </w:r>
      <w:r>
        <w:rPr>
          <w:rFonts w:hint="eastAsia"/>
        </w:rPr>
        <w:t>年底，我国电力储能总装机约为</w:t>
      </w:r>
      <w:r>
        <w:t>16345MW</w:t>
      </w:r>
      <w:r>
        <w:rPr>
          <w:rFonts w:hint="eastAsia"/>
        </w:rPr>
        <w:t>，约占全国电力总装机容量的</w:t>
      </w:r>
      <w:r>
        <w:rPr>
          <w:rFonts w:hint="eastAsia"/>
        </w:rPr>
        <w:t>1.7%</w:t>
      </w:r>
      <w:r>
        <w:rPr>
          <w:rFonts w:hint="eastAsia"/>
        </w:rPr>
        <w:t>，约占全球电力储能总装机的</w:t>
      </w:r>
      <w:r>
        <w:rPr>
          <w:rFonts w:hint="eastAsia"/>
        </w:rPr>
        <w:t>13%</w:t>
      </w:r>
      <w:r>
        <w:rPr>
          <w:rFonts w:hint="eastAsia"/>
        </w:rPr>
        <w:t>，且国内电力储能近</w:t>
      </w:r>
      <w:r>
        <w:rPr>
          <w:rFonts w:hint="eastAsia"/>
        </w:rPr>
        <w:t>99%</w:t>
      </w:r>
      <w:r>
        <w:rPr>
          <w:rFonts w:hint="eastAsia"/>
        </w:rPr>
        <w:t>以上为抽水蓄能。据国家电网公司的规划，到</w:t>
      </w:r>
      <w:r>
        <w:rPr>
          <w:rFonts w:hint="eastAsia"/>
        </w:rPr>
        <w:t>2020</w:t>
      </w:r>
      <w:r>
        <w:rPr>
          <w:rFonts w:hint="eastAsia"/>
        </w:rPr>
        <w:t>年我国电力储能装机容量需要达到</w:t>
      </w:r>
      <w:r>
        <w:rPr>
          <w:rFonts w:hint="eastAsia"/>
        </w:rPr>
        <w:t>60GW</w:t>
      </w:r>
      <w:r>
        <w:rPr>
          <w:rFonts w:hint="eastAsia"/>
        </w:rPr>
        <w:t>以上，占全国电力总装机容量</w:t>
      </w:r>
      <w:r>
        <w:rPr>
          <w:rFonts w:hint="eastAsia"/>
        </w:rPr>
        <w:t>4.0-5.0%</w:t>
      </w:r>
      <w:r>
        <w:rPr>
          <w:rFonts w:hint="eastAsia"/>
        </w:rPr>
        <w:t>；到</w:t>
      </w:r>
      <w:r>
        <w:rPr>
          <w:rFonts w:hint="eastAsia"/>
        </w:rPr>
        <w:t>2050</w:t>
      </w:r>
      <w:r>
        <w:rPr>
          <w:rFonts w:hint="eastAsia"/>
        </w:rPr>
        <w:t>年，为建成一个健康的国家电网体系，需要将电力储能装机占全国电力总装机容量的比例提高到</w:t>
      </w:r>
      <w:r>
        <w:rPr>
          <w:rFonts w:hint="eastAsia"/>
        </w:rPr>
        <w:t>10%</w:t>
      </w:r>
      <w:r>
        <w:rPr>
          <w:rFonts w:hint="eastAsia"/>
        </w:rPr>
        <w:t>以上。</w:t>
      </w:r>
    </w:p>
    <w:p w:rsidR="00CA619C" w:rsidRDefault="00CA619C" w:rsidP="00CA619C">
      <w:pPr>
        <w:ind w:firstLine="480"/>
        <w:rPr>
          <w:rFonts w:hint="eastAsia"/>
        </w:rPr>
      </w:pPr>
      <w:r>
        <w:rPr>
          <w:rFonts w:hint="eastAsia"/>
        </w:rPr>
        <w:t>在储能技术应用示范及产业化方面。目前我国已有近</w:t>
      </w:r>
      <w:r>
        <w:rPr>
          <w:rFonts w:hint="eastAsia"/>
        </w:rPr>
        <w:t>40</w:t>
      </w:r>
      <w:r>
        <w:rPr>
          <w:rFonts w:hint="eastAsia"/>
        </w:rPr>
        <w:t>个储能示范项目，其中规模在兆瓦级的示范项目主要包括国家电网公司张北“风光储输</w:t>
      </w:r>
      <w:r>
        <w:t>”</w:t>
      </w:r>
      <w:r>
        <w:rPr>
          <w:rFonts w:hint="eastAsia"/>
        </w:rPr>
        <w:t>示范工程项目（</w:t>
      </w:r>
      <w:r>
        <w:rPr>
          <w:rFonts w:hint="eastAsia"/>
        </w:rPr>
        <w:t>20MW</w:t>
      </w:r>
      <w:r>
        <w:rPr>
          <w:rFonts w:hint="eastAsia"/>
        </w:rPr>
        <w:t>储能）、南方电网公司深圳“宝清储能电站”（</w:t>
      </w:r>
      <w:r>
        <w:rPr>
          <w:rFonts w:hint="eastAsia"/>
        </w:rPr>
        <w:t>10MW</w:t>
      </w:r>
      <w:r>
        <w:rPr>
          <w:rFonts w:hint="eastAsia"/>
        </w:rPr>
        <w:t>储能）、国电集团和风锦州塘坊储能型风电场储能系统示范项目（</w:t>
      </w:r>
      <w:r>
        <w:rPr>
          <w:rFonts w:hint="eastAsia"/>
        </w:rPr>
        <w:t>5MW</w:t>
      </w:r>
      <w:r>
        <w:rPr>
          <w:rFonts w:hint="eastAsia"/>
        </w:rPr>
        <w:t>），这些</w:t>
      </w:r>
      <w:r>
        <w:rPr>
          <w:rFonts w:hint="eastAsia"/>
        </w:rPr>
        <w:t>MW</w:t>
      </w:r>
      <w:r>
        <w:rPr>
          <w:rFonts w:hint="eastAsia"/>
        </w:rPr>
        <w:t>级储能项目仅仅起到示范、探索性作用，尚不具备产业化条件。</w:t>
      </w:r>
    </w:p>
    <w:p w:rsidR="00CA619C" w:rsidRDefault="00CA619C" w:rsidP="00CA619C">
      <w:pPr>
        <w:pStyle w:val="Heading4"/>
        <w:tabs>
          <w:tab w:val="left" w:pos="864"/>
        </w:tabs>
        <w:rPr>
          <w:rFonts w:hint="eastAsia"/>
        </w:rPr>
      </w:pPr>
      <w:r>
        <w:rPr>
          <w:rFonts w:hint="eastAsia"/>
        </w:rPr>
        <w:t>中国储能技术水平</w:t>
      </w:r>
    </w:p>
    <w:p w:rsidR="00CA619C" w:rsidRDefault="00CA619C" w:rsidP="00CA619C">
      <w:pPr>
        <w:ind w:firstLine="480"/>
        <w:rPr>
          <w:rFonts w:hint="eastAsia"/>
        </w:rPr>
      </w:pPr>
      <w:bookmarkStart w:id="51" w:name="_Toc343438593"/>
      <w:r>
        <w:rPr>
          <w:rFonts w:hint="eastAsia"/>
        </w:rPr>
        <w:t>中国储能产品及系统技术尚需不断提升和创新</w:t>
      </w:r>
      <w:bookmarkEnd w:id="51"/>
      <w:r>
        <w:rPr>
          <w:rFonts w:hint="eastAsia"/>
        </w:rPr>
        <w:t>。近年来，随着各种对可再生能源开发与智能电网建设的重视与发展，作为新能源并网与智能电网建设主要支撑的储能技术也取得快速发展，新技术及新材料也不断呈现。但是我国储能技术除了抽水蓄能得到大规模应用外，其他储能技术的成熟度、可靠性、经济性等尚需进一步提升及验证。</w:t>
      </w:r>
    </w:p>
    <w:p w:rsidR="00CA619C" w:rsidRDefault="00CA619C" w:rsidP="00CA619C">
      <w:pPr>
        <w:ind w:firstLine="480"/>
        <w:rPr>
          <w:rFonts w:hint="eastAsia"/>
        </w:rPr>
      </w:pPr>
      <w:r>
        <w:rPr>
          <w:rFonts w:hint="eastAsia"/>
        </w:rPr>
        <w:t>我国储能技术缺失主要体现在几个方面：一是国内注重对储能电池技术本身研究，对其它载体的研究不够；二是国内普遍仅对材料和单一装置进行研究，缺乏对系统应用和管理的研究，甚至没有或少有针对整个产业的一揽子解决方案，技术路线尚不清晰。事实上，储能具体应用、试点过程中所遭遇的关键材料、制造工艺和能量转化效率等技术难题都有待破解。</w:t>
      </w:r>
    </w:p>
    <w:p w:rsidR="00CA619C" w:rsidRDefault="00CA619C" w:rsidP="00CA619C">
      <w:pPr>
        <w:ind w:firstLine="480"/>
        <w:rPr>
          <w:rFonts w:hint="eastAsia"/>
        </w:rPr>
      </w:pPr>
      <w:r>
        <w:rPr>
          <w:rFonts w:hint="eastAsia"/>
        </w:rPr>
        <w:t>以对储能技术要求最基本的安全可靠性为例，</w:t>
      </w:r>
      <w:r>
        <w:t>当前的主要技术问题是蓄电池成组后，安全性大幅下降、使用寿命大幅缩短，甚至存在发生蓄电池燃烧爆炸的危险。</w:t>
      </w:r>
      <w:r>
        <w:rPr>
          <w:rFonts w:hint="eastAsia"/>
        </w:rPr>
        <w:t>目前，锂离子电池大多被用做动力电池领域，但是经过多年的研究开发及试用，锂离子电池的安全性问题一直都没有得到很好的解决。</w:t>
      </w:r>
      <w:r>
        <w:t>2011</w:t>
      </w:r>
      <w:r>
        <w:t>年</w:t>
      </w:r>
      <w:r>
        <w:rPr>
          <w:rFonts w:hint="eastAsia"/>
        </w:rPr>
        <w:t>国内多起电动汽车自燃</w:t>
      </w:r>
      <w:r>
        <w:t>事件再次</w:t>
      </w:r>
      <w:r>
        <w:rPr>
          <w:rFonts w:hint="eastAsia"/>
        </w:rPr>
        <w:t>警示</w:t>
      </w:r>
      <w:r>
        <w:t>锂离子等新兴蓄电池成组应用技术、系统集成技术，是当前推动节能与新能源产业发展迫切需要解决的重大课题。</w:t>
      </w:r>
      <w:r>
        <w:rPr>
          <w:rFonts w:hint="eastAsia"/>
        </w:rPr>
        <w:t>同时，国际上知名的</w:t>
      </w:r>
      <w:r>
        <w:rPr>
          <w:rFonts w:hint="eastAsia"/>
        </w:rPr>
        <w:t>A123</w:t>
      </w:r>
      <w:r>
        <w:rPr>
          <w:rFonts w:hint="eastAsia"/>
        </w:rPr>
        <w:t>公司已经将锂电池成功用于规模储能，但是锂离子电池在做兆瓦级系统的安全性问题还没有解决。未来我国储能技术研发及储能产业发展也需要不断提高及创新储能产品及系统技术。</w:t>
      </w:r>
    </w:p>
    <w:p w:rsidR="00CA619C" w:rsidRDefault="00CA619C" w:rsidP="00CA619C">
      <w:pPr>
        <w:ind w:firstLine="480"/>
        <w:rPr>
          <w:rFonts w:hint="eastAsia"/>
        </w:rPr>
      </w:pPr>
      <w:r>
        <w:rPr>
          <w:rFonts w:hint="eastAsia"/>
        </w:rPr>
        <w:t>我国近年来大力发展可再生能源和分布式发电，鼓励新能源电源并网。近期我国以建设储能示范项目为依托，检验储能技术对可再生能源发电并网、电力系统调频、调峰及电力系统备用的效果。相关科技发展规划则专注于储能材料和储能技术在分布式、可再生能源发电项目中的系统集成技术。在我国现行的能源政策和电力市场框架下，近期的储能扶持政策仍将主要围绕在智能电网、可再生能源发电、分布式发电及微电网、农村电网升级改造及电动汽车领域。我国现行的上网端峰谷电价对储能发展的激励作用有限，而大工业用户的两部制电价鼓励用户错峰用电的电力管理需求，一定程度上激励了储能产业的发展。</w:t>
      </w:r>
    </w:p>
    <w:p w:rsidR="00CA619C" w:rsidRDefault="00CA619C" w:rsidP="00CA619C">
      <w:pPr>
        <w:pStyle w:val="Heading2"/>
        <w:rPr>
          <w:rFonts w:hint="eastAsia"/>
        </w:rPr>
      </w:pPr>
      <w:bookmarkStart w:id="52" w:name="_Toc392853118"/>
      <w:r>
        <w:rPr>
          <w:rFonts w:hint="eastAsia"/>
        </w:rPr>
        <w:t>页岩气</w:t>
      </w:r>
      <w:bookmarkEnd w:id="52"/>
    </w:p>
    <w:p w:rsidR="00CA619C" w:rsidRDefault="00CA619C" w:rsidP="00CA619C">
      <w:pPr>
        <w:pStyle w:val="Heading3"/>
        <w:numPr>
          <w:ilvl w:val="2"/>
          <w:numId w:val="1"/>
        </w:numPr>
        <w:rPr>
          <w:rFonts w:hint="eastAsia"/>
        </w:rPr>
      </w:pPr>
      <w:bookmarkStart w:id="53" w:name="_Toc392853119"/>
      <w:r>
        <w:rPr>
          <w:rFonts w:hint="eastAsia"/>
        </w:rPr>
        <w:t>世界页岩气产业现状与技术水平</w:t>
      </w:r>
      <w:bookmarkEnd w:id="53"/>
    </w:p>
    <w:p w:rsidR="00CA619C" w:rsidRDefault="00CA619C" w:rsidP="00CA619C">
      <w:pPr>
        <w:pStyle w:val="Heading4"/>
        <w:rPr>
          <w:rFonts w:hint="eastAsia"/>
        </w:rPr>
      </w:pPr>
      <w:r>
        <w:rPr>
          <w:rFonts w:hint="eastAsia"/>
        </w:rPr>
        <w:t>世界页岩气产业现状</w:t>
      </w:r>
    </w:p>
    <w:p w:rsidR="00CA619C" w:rsidRDefault="00CA619C" w:rsidP="00CA619C">
      <w:pPr>
        <w:ind w:firstLine="480"/>
        <w:rPr>
          <w:rFonts w:hint="eastAsia"/>
        </w:rPr>
      </w:pPr>
      <w:r>
        <w:rPr>
          <w:rFonts w:hint="eastAsia"/>
        </w:rPr>
        <w:t>页岩气是从页岩层中开采出来的天然气，是一种重要的非常规天然气资源。</w:t>
      </w:r>
      <w:r>
        <w:rPr>
          <w:rFonts w:hint="eastAsia"/>
        </w:rPr>
        <w:t>19</w:t>
      </w:r>
      <w:r>
        <w:rPr>
          <w:rFonts w:hint="eastAsia"/>
        </w:rPr>
        <w:t>世纪末，美国米歇尔能源及开发公司成功将水平钻井技术和水力压裂技术相结合，极大提高了深层页岩气的开采效率和盈利性，页岩气开采开始进入规模化和商业化发展阶段。页岩气资源在全球储量非常丰富，而且分布广泛。全球页岩气资源量相当于煤层气和致密气的总和，约占全球非常规天然气资源量的</w:t>
      </w:r>
      <w:r>
        <w:rPr>
          <w:rFonts w:hint="eastAsia"/>
        </w:rPr>
        <w:t>50%</w:t>
      </w:r>
      <w:r>
        <w:rPr>
          <w:rFonts w:hint="eastAsia"/>
        </w:rPr>
        <w:t>，与常规天然气</w:t>
      </w:r>
      <w:r>
        <w:rPr>
          <w:rFonts w:hint="eastAsia"/>
        </w:rPr>
        <w:t>472</w:t>
      </w:r>
      <w:r>
        <w:rPr>
          <w:rFonts w:hint="eastAsia"/>
        </w:rPr>
        <w:t>万亿立方米的储量相当。美国能源信息署（</w:t>
      </w:r>
      <w:r>
        <w:rPr>
          <w:rFonts w:hint="eastAsia"/>
        </w:rPr>
        <w:t>EIA</w:t>
      </w:r>
      <w:r>
        <w:rPr>
          <w:rFonts w:hint="eastAsia"/>
        </w:rPr>
        <w:t>）</w:t>
      </w:r>
      <w:r>
        <w:rPr>
          <w:rFonts w:hint="eastAsia"/>
        </w:rPr>
        <w:t>2011</w:t>
      </w:r>
      <w:r>
        <w:rPr>
          <w:rFonts w:hint="eastAsia"/>
        </w:rPr>
        <w:t>年针对全球页岩气储量的评估显示，全球</w:t>
      </w:r>
      <w:r>
        <w:rPr>
          <w:rFonts w:hint="eastAsia"/>
        </w:rPr>
        <w:t>32</w:t>
      </w:r>
      <w:r>
        <w:rPr>
          <w:rFonts w:hint="eastAsia"/>
        </w:rPr>
        <w:t>个国家的页岩气技术可采资源量为</w:t>
      </w:r>
      <w:r>
        <w:rPr>
          <w:rFonts w:hint="eastAsia"/>
        </w:rPr>
        <w:t>163</w:t>
      </w:r>
      <w:r>
        <w:rPr>
          <w:rFonts w:hint="eastAsia"/>
        </w:rPr>
        <w:t>万亿立方米，加上美国的</w:t>
      </w:r>
      <w:r>
        <w:rPr>
          <w:rFonts w:hint="eastAsia"/>
        </w:rPr>
        <w:t>24</w:t>
      </w:r>
      <w:r>
        <w:rPr>
          <w:rFonts w:hint="eastAsia"/>
        </w:rPr>
        <w:t>万亿立方米，全球页岩气技术可采资源量升至</w:t>
      </w:r>
      <w:r>
        <w:rPr>
          <w:rFonts w:hint="eastAsia"/>
        </w:rPr>
        <w:t>187</w:t>
      </w:r>
      <w:r>
        <w:rPr>
          <w:rFonts w:hint="eastAsia"/>
        </w:rPr>
        <w:t>万亿立方米。其中，中国页岩气技术可采资源量为</w:t>
      </w:r>
      <w:r>
        <w:rPr>
          <w:rFonts w:hint="eastAsia"/>
        </w:rPr>
        <w:t>36</w:t>
      </w:r>
      <w:r>
        <w:rPr>
          <w:rFonts w:hint="eastAsia"/>
        </w:rPr>
        <w:t>万亿立方米，排名世界第一（约占</w:t>
      </w:r>
      <w:r>
        <w:rPr>
          <w:rFonts w:hint="eastAsia"/>
        </w:rPr>
        <w:t>20%</w:t>
      </w:r>
      <w:r>
        <w:rPr>
          <w:rFonts w:hint="eastAsia"/>
        </w:rPr>
        <w:t>），其后依次是美国（约占</w:t>
      </w:r>
      <w:r>
        <w:rPr>
          <w:rFonts w:hint="eastAsia"/>
        </w:rPr>
        <w:t>13%</w:t>
      </w:r>
      <w:r>
        <w:rPr>
          <w:rFonts w:hint="eastAsia"/>
        </w:rPr>
        <w:t>）、阿根廷、墨西哥和南非。</w:t>
      </w:r>
      <w:r>
        <w:rPr>
          <w:rFonts w:hint="eastAsia"/>
        </w:rPr>
        <w:t>EIA</w:t>
      </w:r>
      <w:r>
        <w:rPr>
          <w:rFonts w:hint="eastAsia"/>
        </w:rPr>
        <w:t>于</w:t>
      </w:r>
      <w:r>
        <w:rPr>
          <w:rFonts w:hint="eastAsia"/>
        </w:rPr>
        <w:t>2010</w:t>
      </w:r>
      <w:r>
        <w:rPr>
          <w:rFonts w:hint="eastAsia"/>
        </w:rPr>
        <w:t>年测算的全球天然气技术可采资源量约为</w:t>
      </w:r>
      <w:r>
        <w:rPr>
          <w:rFonts w:hint="eastAsia"/>
        </w:rPr>
        <w:t>453</w:t>
      </w:r>
      <w:r>
        <w:rPr>
          <w:rFonts w:hint="eastAsia"/>
        </w:rPr>
        <w:t>亿立方米，此次探明的页岩气资源量将使全球天然气资源量增长</w:t>
      </w:r>
      <w:r>
        <w:rPr>
          <w:rFonts w:hint="eastAsia"/>
        </w:rPr>
        <w:t>40%</w:t>
      </w:r>
      <w:r>
        <w:rPr>
          <w:rFonts w:hint="eastAsia"/>
        </w:rPr>
        <w:t>以上，达到</w:t>
      </w:r>
      <w:r>
        <w:rPr>
          <w:rFonts w:hint="eastAsia"/>
        </w:rPr>
        <w:t>640</w:t>
      </w:r>
      <w:r>
        <w:rPr>
          <w:rFonts w:hint="eastAsia"/>
        </w:rPr>
        <w:t>万亿立方米。而该结果还未考虑俄罗斯、中东等非常规天然气储量丰富的国家和地区。因此，总体来看，页岩气的开采将极大地丰富全球天然气的供应能力。</w:t>
      </w:r>
    </w:p>
    <w:p w:rsidR="00CA619C" w:rsidRDefault="00CA619C" w:rsidP="00CA619C">
      <w:pPr>
        <w:ind w:firstLine="480"/>
        <w:rPr>
          <w:rFonts w:hint="eastAsia"/>
        </w:rPr>
      </w:pPr>
      <w:r>
        <w:rPr>
          <w:rFonts w:hint="eastAsia"/>
        </w:rPr>
        <w:t>美国是页岩气产业发展最为成熟的国家。</w:t>
      </w:r>
      <w:r>
        <w:rPr>
          <w:rFonts w:hint="eastAsia"/>
        </w:rPr>
        <w:t>2000</w:t>
      </w:r>
      <w:r>
        <w:rPr>
          <w:rFonts w:hint="eastAsia"/>
        </w:rPr>
        <w:t>年，美国页岩气产量占天然气总产量的比例仅为</w:t>
      </w:r>
      <w:r>
        <w:rPr>
          <w:rFonts w:hint="eastAsia"/>
        </w:rPr>
        <w:t>1%</w:t>
      </w:r>
      <w:r>
        <w:rPr>
          <w:rFonts w:hint="eastAsia"/>
        </w:rPr>
        <w:t>左右。随着水平井和水力压裂技术的进步和开发成本及风险的大幅降低，页岩气井数量激增，页岩气产量在</w:t>
      </w:r>
      <w:r>
        <w:rPr>
          <w:rFonts w:hint="eastAsia"/>
        </w:rPr>
        <w:t>2008</w:t>
      </w:r>
      <w:r>
        <w:rPr>
          <w:rFonts w:hint="eastAsia"/>
        </w:rPr>
        <w:t>年得到突破性增长，页岩气井数量激增到</w:t>
      </w:r>
      <w:r>
        <w:rPr>
          <w:rFonts w:hint="eastAsia"/>
        </w:rPr>
        <w:t>4</w:t>
      </w:r>
      <w:r>
        <w:rPr>
          <w:rFonts w:hint="eastAsia"/>
        </w:rPr>
        <w:t>万余口，产量为</w:t>
      </w:r>
      <w:r>
        <w:rPr>
          <w:rFonts w:hint="eastAsia"/>
        </w:rPr>
        <w:t>599.2</w:t>
      </w:r>
      <w:r>
        <w:rPr>
          <w:rFonts w:hint="eastAsia"/>
        </w:rPr>
        <w:t>亿立方米，占天然气总产量的</w:t>
      </w:r>
      <w:r>
        <w:rPr>
          <w:rFonts w:hint="eastAsia"/>
        </w:rPr>
        <w:t>11%</w:t>
      </w:r>
      <w:r>
        <w:rPr>
          <w:rFonts w:hint="eastAsia"/>
        </w:rPr>
        <w:t>，比</w:t>
      </w:r>
      <w:r>
        <w:rPr>
          <w:rFonts w:hint="eastAsia"/>
        </w:rPr>
        <w:t>2007</w:t>
      </w:r>
      <w:r>
        <w:rPr>
          <w:rFonts w:hint="eastAsia"/>
        </w:rPr>
        <w:t>年增长了</w:t>
      </w:r>
      <w:r>
        <w:rPr>
          <w:rFonts w:hint="eastAsia"/>
        </w:rPr>
        <w:t>64%</w:t>
      </w:r>
      <w:r>
        <w:rPr>
          <w:rFonts w:hint="eastAsia"/>
        </w:rPr>
        <w:t>。</w:t>
      </w:r>
      <w:r>
        <w:rPr>
          <w:rFonts w:hint="eastAsia"/>
        </w:rPr>
        <w:t>2012</w:t>
      </w:r>
      <w:r>
        <w:rPr>
          <w:rFonts w:hint="eastAsia"/>
        </w:rPr>
        <w:t>年，美国页岩气产量达到</w:t>
      </w:r>
      <w:r>
        <w:rPr>
          <w:rFonts w:hint="eastAsia"/>
        </w:rPr>
        <w:t>2480.56</w:t>
      </w:r>
      <w:r>
        <w:rPr>
          <w:rFonts w:hint="eastAsia"/>
        </w:rPr>
        <w:t>亿立方米，占其天然气总产量的</w:t>
      </w:r>
      <w:r>
        <w:rPr>
          <w:rFonts w:hint="eastAsia"/>
        </w:rPr>
        <w:t>37%</w:t>
      </w:r>
      <w:r>
        <w:rPr>
          <w:rFonts w:hint="eastAsia"/>
        </w:rPr>
        <w:t>。</w:t>
      </w:r>
    </w:p>
    <w:p w:rsidR="00CA619C" w:rsidRDefault="00CA619C" w:rsidP="00CA619C">
      <w:pPr>
        <w:ind w:firstLine="480"/>
        <w:jc w:val="center"/>
        <w:rPr>
          <w:rFonts w:ascii="宋体" w:hAnsi="宋体"/>
        </w:rPr>
      </w:pPr>
      <w:r>
        <w:rPr>
          <w:noProof/>
          <w:lang w:eastAsia="en-US"/>
        </w:rPr>
        <w:drawing>
          <wp:inline distT="0" distB="0" distL="0" distR="0">
            <wp:extent cx="4098925" cy="2696210"/>
            <wp:effectExtent l="0" t="0" r="0" b="0"/>
            <wp:docPr id="24" name="图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表 1"/>
                    <pic:cNvPicPr>
                      <a:picLocks noChangeArrowheads="1"/>
                    </pic:cNvPicPr>
                  </pic:nvPicPr>
                  <pic:blipFill>
                    <a:blip r:embed="rId39">
                      <a:extLst>
                        <a:ext uri="{28A0092B-C50C-407E-A947-70E740481C1C}">
                          <a14:useLocalDpi xmlns:a14="http://schemas.microsoft.com/office/drawing/2010/main" val="0"/>
                        </a:ext>
                      </a:extLst>
                    </a:blip>
                    <a:srcRect l="917" t="1382" r="458" b="1013"/>
                    <a:stretch>
                      <a:fillRect/>
                    </a:stretch>
                  </pic:blipFill>
                  <pic:spPr bwMode="auto">
                    <a:xfrm>
                      <a:off x="0" y="0"/>
                      <a:ext cx="4098925" cy="2696210"/>
                    </a:xfrm>
                    <a:prstGeom prst="rect">
                      <a:avLst/>
                    </a:prstGeom>
                    <a:noFill/>
                    <a:ln>
                      <a:noFill/>
                    </a:ln>
                  </pic:spPr>
                </pic:pic>
              </a:graphicData>
            </a:graphic>
          </wp:inline>
        </w:drawing>
      </w:r>
    </w:p>
    <w:p w:rsidR="00CA619C" w:rsidRDefault="00CA619C" w:rsidP="00CA619C">
      <w:pPr>
        <w:pStyle w:val="a3"/>
        <w:rPr>
          <w:rFonts w:hint="eastAsia"/>
        </w:rPr>
      </w:pPr>
      <w:bookmarkStart w:id="54" w:name="_Toc392853208"/>
      <w:r>
        <w:rPr>
          <w:rFonts w:hint="eastAsia"/>
        </w:rPr>
        <w:t>美国页岩气产量与占天然气总量比例（</w:t>
      </w:r>
      <w:r>
        <w:rPr>
          <w:rFonts w:hint="eastAsia"/>
        </w:rPr>
        <w:t>2007-2012</w:t>
      </w:r>
      <w:r>
        <w:rPr>
          <w:rFonts w:hint="eastAsia"/>
        </w:rPr>
        <w:t>）</w:t>
      </w:r>
      <w:bookmarkEnd w:id="54"/>
    </w:p>
    <w:p w:rsidR="00CA619C" w:rsidRDefault="00CA619C" w:rsidP="00CA619C">
      <w:pPr>
        <w:pStyle w:val="a2"/>
        <w:ind w:left="840"/>
        <w:rPr>
          <w:rFonts w:hint="eastAsia"/>
        </w:rPr>
      </w:pPr>
      <w:r>
        <w:rPr>
          <w:rFonts w:hint="eastAsia"/>
        </w:rPr>
        <w:t>（资料来源：中国能源网研究中心根据</w:t>
      </w:r>
      <w:r>
        <w:rPr>
          <w:rFonts w:hint="eastAsia"/>
        </w:rPr>
        <w:t>EIA</w:t>
      </w:r>
      <w:r>
        <w:rPr>
          <w:rFonts w:hint="eastAsia"/>
        </w:rPr>
        <w:t>信息整理）</w:t>
      </w:r>
    </w:p>
    <w:p w:rsidR="00CA619C" w:rsidRDefault="00CA619C" w:rsidP="00CA619C">
      <w:pPr>
        <w:ind w:firstLine="480"/>
        <w:rPr>
          <w:rFonts w:ascii="宋体" w:hAnsi="宋体" w:hint="eastAsia"/>
        </w:rPr>
      </w:pPr>
      <w:r>
        <w:rPr>
          <w:rFonts w:ascii="宋体" w:hAnsi="宋体" w:hint="eastAsia"/>
        </w:rPr>
        <w:t>随着页岩气产量的不断增加，EIA的《年度能源展望报告2013》（AEO2013）中预测，到2020年美国将成为天然气净出口国。预计到2021年美国将成为管道天然气净出口国，到2027年出口LNG上升到约1.6万亿立方米方尺，到2035年，美国天然气将出口762.6亿立方米，2040年，美国天然气出口1070亿立方米。</w:t>
      </w:r>
    </w:p>
    <w:p w:rsidR="00CA619C" w:rsidRDefault="00CA619C" w:rsidP="00CA619C">
      <w:pPr>
        <w:ind w:firstLine="480"/>
        <w:jc w:val="center"/>
        <w:rPr>
          <w:rFonts w:ascii="宋体" w:hAnsi="宋体"/>
        </w:rPr>
      </w:pPr>
      <w:r>
        <w:rPr>
          <w:rFonts w:ascii="宋体" w:hAnsi="宋体" w:cs="Arial Narrow" w:hint="eastAsia"/>
          <w:noProof/>
          <w:lang w:eastAsia="en-US"/>
        </w:rPr>
        <w:drawing>
          <wp:inline distT="0" distB="0" distL="0" distR="0">
            <wp:extent cx="3657600" cy="2049780"/>
            <wp:effectExtent l="0" t="0" r="0" b="762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lum contrast="6000"/>
                      <a:extLst>
                        <a:ext uri="{28A0092B-C50C-407E-A947-70E740481C1C}">
                          <a14:useLocalDpi xmlns:a14="http://schemas.microsoft.com/office/drawing/2010/main" val="0"/>
                        </a:ext>
                      </a:extLst>
                    </a:blip>
                    <a:srcRect b="6874"/>
                    <a:stretch>
                      <a:fillRect/>
                    </a:stretch>
                  </pic:blipFill>
                  <pic:spPr bwMode="auto">
                    <a:xfrm>
                      <a:off x="0" y="0"/>
                      <a:ext cx="3657600" cy="2049780"/>
                    </a:xfrm>
                    <a:prstGeom prst="rect">
                      <a:avLst/>
                    </a:prstGeom>
                    <a:noFill/>
                    <a:ln>
                      <a:noFill/>
                    </a:ln>
                  </pic:spPr>
                </pic:pic>
              </a:graphicData>
            </a:graphic>
          </wp:inline>
        </w:drawing>
      </w:r>
    </w:p>
    <w:p w:rsidR="00CA619C" w:rsidRDefault="00CA619C" w:rsidP="00CA619C">
      <w:pPr>
        <w:pStyle w:val="a3"/>
        <w:tabs>
          <w:tab w:val="left" w:pos="425"/>
        </w:tabs>
        <w:rPr>
          <w:rFonts w:hint="eastAsia"/>
        </w:rPr>
      </w:pPr>
      <w:bookmarkStart w:id="55" w:name="_Toc392853209"/>
      <w:r>
        <w:rPr>
          <w:rFonts w:hint="eastAsia"/>
        </w:rPr>
        <w:t>2010</w:t>
      </w:r>
      <w:r>
        <w:rPr>
          <w:rFonts w:hint="eastAsia"/>
        </w:rPr>
        <w:t>年</w:t>
      </w:r>
      <w:r>
        <w:rPr>
          <w:rFonts w:hint="eastAsia"/>
        </w:rPr>
        <w:t>-2040</w:t>
      </w:r>
      <w:r>
        <w:rPr>
          <w:rFonts w:hint="eastAsia"/>
        </w:rPr>
        <w:t>年美国天然气出口量</w:t>
      </w:r>
      <w:bookmarkEnd w:id="55"/>
    </w:p>
    <w:p w:rsidR="00CA619C" w:rsidRDefault="00CA619C" w:rsidP="00CA619C">
      <w:pPr>
        <w:pStyle w:val="a2"/>
        <w:ind w:left="840"/>
      </w:pPr>
      <w:r>
        <w:rPr>
          <w:rFonts w:hint="eastAsia"/>
        </w:rPr>
        <w:t>（资料来源：</w:t>
      </w:r>
      <w:r>
        <w:rPr>
          <w:rFonts w:hint="eastAsia"/>
        </w:rPr>
        <w:t>EIA</w:t>
      </w:r>
      <w:r>
        <w:rPr>
          <w:rFonts w:hint="eastAsia"/>
        </w:rPr>
        <w:t>，年度能源展望，</w:t>
      </w:r>
      <w:r>
        <w:rPr>
          <w:rFonts w:hint="eastAsia"/>
        </w:rPr>
        <w:t>2013</w:t>
      </w:r>
      <w:r>
        <w:rPr>
          <w:rFonts w:hint="eastAsia"/>
        </w:rPr>
        <w:t>年发布）</w:t>
      </w:r>
    </w:p>
    <w:p w:rsidR="00CA619C" w:rsidRDefault="00CA619C" w:rsidP="00CA619C">
      <w:pPr>
        <w:ind w:firstLine="480"/>
        <w:jc w:val="center"/>
        <w:rPr>
          <w:rFonts w:ascii="宋体" w:hAnsi="宋体"/>
          <w:sz w:val="18"/>
        </w:rPr>
      </w:pPr>
      <w:r>
        <w:rPr>
          <w:rFonts w:ascii="宋体" w:hAnsi="宋体" w:cs="Arial Narrow" w:hint="eastAsia"/>
          <w:noProof/>
          <w:lang w:eastAsia="en-US"/>
        </w:rPr>
        <w:drawing>
          <wp:inline distT="0" distB="0" distL="0" distR="0">
            <wp:extent cx="4209415" cy="2380615"/>
            <wp:effectExtent l="0" t="0" r="6985" b="6985"/>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b="4179"/>
                    <a:stretch>
                      <a:fillRect/>
                    </a:stretch>
                  </pic:blipFill>
                  <pic:spPr bwMode="auto">
                    <a:xfrm>
                      <a:off x="0" y="0"/>
                      <a:ext cx="4209415" cy="2380615"/>
                    </a:xfrm>
                    <a:prstGeom prst="rect">
                      <a:avLst/>
                    </a:prstGeom>
                    <a:noFill/>
                    <a:ln>
                      <a:noFill/>
                    </a:ln>
                  </pic:spPr>
                </pic:pic>
              </a:graphicData>
            </a:graphic>
          </wp:inline>
        </w:drawing>
      </w:r>
    </w:p>
    <w:p w:rsidR="00CA619C" w:rsidRDefault="00CA619C" w:rsidP="00CA619C">
      <w:pPr>
        <w:pStyle w:val="a3"/>
        <w:tabs>
          <w:tab w:val="left" w:pos="425"/>
        </w:tabs>
      </w:pPr>
      <w:bookmarkStart w:id="56" w:name="_Toc392853210"/>
      <w:r>
        <w:rPr>
          <w:rFonts w:hint="eastAsia"/>
        </w:rPr>
        <w:t>美国天然气生产与消费量（</w:t>
      </w:r>
      <w:r>
        <w:rPr>
          <w:rFonts w:hint="eastAsia"/>
        </w:rPr>
        <w:t>1990-2040</w:t>
      </w:r>
      <w:r>
        <w:rPr>
          <w:rFonts w:hint="eastAsia"/>
        </w:rPr>
        <w:t>）（单位：万亿立方英尺）</w:t>
      </w:r>
      <w:bookmarkEnd w:id="56"/>
    </w:p>
    <w:p w:rsidR="00CA619C" w:rsidRDefault="00CA619C" w:rsidP="00CA619C">
      <w:pPr>
        <w:pStyle w:val="a2"/>
        <w:ind w:left="840"/>
        <w:rPr>
          <w:rFonts w:hint="eastAsia"/>
        </w:rPr>
      </w:pPr>
      <w:r>
        <w:rPr>
          <w:rFonts w:hint="eastAsia"/>
        </w:rPr>
        <w:t>（资料来源：</w:t>
      </w:r>
      <w:r>
        <w:rPr>
          <w:rFonts w:hint="eastAsia"/>
        </w:rPr>
        <w:t>EIA</w:t>
      </w:r>
      <w:r>
        <w:rPr>
          <w:rFonts w:hint="eastAsia"/>
        </w:rPr>
        <w:t>，年度能源展望，</w:t>
      </w:r>
      <w:r>
        <w:rPr>
          <w:rFonts w:hint="eastAsia"/>
        </w:rPr>
        <w:t>2013</w:t>
      </w:r>
      <w:r>
        <w:rPr>
          <w:rFonts w:hint="eastAsia"/>
        </w:rPr>
        <w:t>年发布）</w:t>
      </w:r>
    </w:p>
    <w:p w:rsidR="00CA619C" w:rsidRDefault="00CA619C" w:rsidP="00CA619C">
      <w:pPr>
        <w:ind w:firstLine="480"/>
        <w:rPr>
          <w:rFonts w:hint="eastAsia"/>
        </w:rPr>
      </w:pPr>
      <w:r>
        <w:rPr>
          <w:rFonts w:hint="eastAsia"/>
        </w:rPr>
        <w:t>随着技术进步和规模化生产，页岩气的开采成本大幅下降。</w:t>
      </w:r>
      <w:r>
        <w:rPr>
          <w:rFonts w:hint="eastAsia"/>
        </w:rPr>
        <w:t>2007</w:t>
      </w:r>
      <w:r>
        <w:rPr>
          <w:rFonts w:hint="eastAsia"/>
        </w:rPr>
        <w:t>年至</w:t>
      </w:r>
      <w:r>
        <w:rPr>
          <w:rFonts w:hint="eastAsia"/>
        </w:rPr>
        <w:t>2010</w:t>
      </w:r>
      <w:r>
        <w:rPr>
          <w:rFonts w:hint="eastAsia"/>
        </w:rPr>
        <w:t>年</w:t>
      </w:r>
      <w:r>
        <w:rPr>
          <w:rFonts w:hint="eastAsia"/>
        </w:rPr>
        <w:t>3</w:t>
      </w:r>
      <w:r>
        <w:rPr>
          <w:rFonts w:hint="eastAsia"/>
        </w:rPr>
        <w:t>年时间，美国</w:t>
      </w:r>
      <w:r>
        <w:rPr>
          <w:rFonts w:hint="eastAsia"/>
        </w:rPr>
        <w:t>Marcellus</w:t>
      </w:r>
      <w:r>
        <w:rPr>
          <w:rFonts w:hint="eastAsia"/>
        </w:rPr>
        <w:t>区块页岩气钻井与完井成本下降了大约</w:t>
      </w:r>
      <w:r>
        <w:rPr>
          <w:rFonts w:hint="eastAsia"/>
        </w:rPr>
        <w:t>45%</w:t>
      </w:r>
      <w:r>
        <w:rPr>
          <w:rFonts w:hint="eastAsia"/>
        </w:rPr>
        <w:t>。目前，美国</w:t>
      </w:r>
      <w:r>
        <w:rPr>
          <w:rFonts w:hint="eastAsia"/>
        </w:rPr>
        <w:t>2000</w:t>
      </w:r>
      <w:r>
        <w:rPr>
          <w:rFonts w:hint="eastAsia"/>
        </w:rPr>
        <w:t>米深的页岩气水平井的钻井费用平均为</w:t>
      </w:r>
      <w:r>
        <w:rPr>
          <w:rFonts w:hint="eastAsia"/>
        </w:rPr>
        <w:t>390</w:t>
      </w:r>
      <w:r>
        <w:rPr>
          <w:rFonts w:hint="eastAsia"/>
        </w:rPr>
        <w:t>万美元，约为</w:t>
      </w:r>
      <w:r>
        <w:rPr>
          <w:rFonts w:hint="eastAsia"/>
        </w:rPr>
        <w:t>2470</w:t>
      </w:r>
      <w:r>
        <w:rPr>
          <w:rFonts w:hint="eastAsia"/>
        </w:rPr>
        <w:t>万元人民币。</w:t>
      </w:r>
    </w:p>
    <w:p w:rsidR="00CA619C" w:rsidRDefault="00CA619C" w:rsidP="00CA619C">
      <w:pPr>
        <w:ind w:firstLine="480"/>
        <w:rPr>
          <w:rFonts w:hint="eastAsia"/>
        </w:rPr>
      </w:pPr>
      <w:r>
        <w:rPr>
          <w:rFonts w:hint="eastAsia"/>
        </w:rPr>
        <w:t>现阶段，以中小能源企业为主的页岩气开发结构正在发生改变。主要表现在两个方面。第一，大型、上下游一体化跨国油气公司，如埃克森美孚和壳牌等，开始逐渐取代中小型独立天然气公司。持续低迷的天然气价格严重影响中小企业的企业效益，企业资金状况不好。据不完全统计，美国的</w:t>
      </w:r>
      <w:r>
        <w:rPr>
          <w:rFonts w:hint="eastAsia"/>
        </w:rPr>
        <w:t>10</w:t>
      </w:r>
      <w:r>
        <w:rPr>
          <w:rFonts w:hint="eastAsia"/>
        </w:rPr>
        <w:t>家能源企业中，有</w:t>
      </w:r>
      <w:r>
        <w:rPr>
          <w:rFonts w:hint="eastAsia"/>
        </w:rPr>
        <w:t>4-6</w:t>
      </w:r>
      <w:r>
        <w:rPr>
          <w:rFonts w:hint="eastAsia"/>
        </w:rPr>
        <w:t>家企业面临破产或者财务状况不好。所以，这些企业通过出售部分或者全部资产的方式，来获得资金，清偿债务。如美国第二大天然气生产商</w:t>
      </w:r>
      <w:r>
        <w:rPr>
          <w:rFonts w:hint="eastAsia"/>
        </w:rPr>
        <w:t>Chesapeake</w:t>
      </w:r>
      <w:r>
        <w:rPr>
          <w:rFonts w:hint="eastAsia"/>
        </w:rPr>
        <w:t>能源在</w:t>
      </w:r>
      <w:r>
        <w:rPr>
          <w:rFonts w:hint="eastAsia"/>
        </w:rPr>
        <w:t>2012</w:t>
      </w:r>
      <w:r>
        <w:rPr>
          <w:rFonts w:hint="eastAsia"/>
        </w:rPr>
        <w:t>年</w:t>
      </w:r>
      <w:r>
        <w:rPr>
          <w:rFonts w:hint="eastAsia"/>
        </w:rPr>
        <w:t>2</w:t>
      </w:r>
      <w:r>
        <w:rPr>
          <w:rFonts w:hint="eastAsia"/>
        </w:rPr>
        <w:t>月宣布将继续出售</w:t>
      </w:r>
      <w:r>
        <w:rPr>
          <w:rFonts w:hint="eastAsia"/>
        </w:rPr>
        <w:t>100-120</w:t>
      </w:r>
      <w:r>
        <w:rPr>
          <w:rFonts w:hint="eastAsia"/>
        </w:rPr>
        <w:t>亿美元的资产，降低其总资产中的债务比例。而购买这些资产的一般都是大型跨国公司。第二，日本商社和亚洲大油气公司纷纷进入美国页岩气开发领域。</w:t>
      </w:r>
      <w:r>
        <w:rPr>
          <w:rFonts w:hint="eastAsia"/>
        </w:rPr>
        <w:t>2010</w:t>
      </w:r>
      <w:r>
        <w:rPr>
          <w:rFonts w:hint="eastAsia"/>
        </w:rPr>
        <w:t>年</w:t>
      </w:r>
      <w:r>
        <w:rPr>
          <w:rFonts w:hint="eastAsia"/>
        </w:rPr>
        <w:t>2</w:t>
      </w:r>
      <w:r>
        <w:rPr>
          <w:rFonts w:hint="eastAsia"/>
        </w:rPr>
        <w:t>月三井物产以</w:t>
      </w:r>
      <w:r>
        <w:rPr>
          <w:rFonts w:hint="eastAsia"/>
        </w:rPr>
        <w:t>140</w:t>
      </w:r>
      <w:r>
        <w:rPr>
          <w:rFonts w:hint="eastAsia"/>
        </w:rPr>
        <w:t>亿美元收购美国</w:t>
      </w:r>
      <w:r>
        <w:rPr>
          <w:rFonts w:hint="eastAsia"/>
        </w:rPr>
        <w:t>Anadarko</w:t>
      </w:r>
      <w:r>
        <w:rPr>
          <w:rFonts w:hint="eastAsia"/>
        </w:rPr>
        <w:t>公司的</w:t>
      </w:r>
      <w:r>
        <w:rPr>
          <w:rFonts w:hint="eastAsia"/>
        </w:rPr>
        <w:t>Marcellus</w:t>
      </w:r>
      <w:r>
        <w:rPr>
          <w:rFonts w:hint="eastAsia"/>
        </w:rPr>
        <w:t>页岩气区块。</w:t>
      </w:r>
      <w:r>
        <w:rPr>
          <w:rFonts w:hint="eastAsia"/>
        </w:rPr>
        <w:t>8</w:t>
      </w:r>
      <w:r>
        <w:rPr>
          <w:rFonts w:hint="eastAsia"/>
        </w:rPr>
        <w:t>月住友商社以</w:t>
      </w:r>
      <w:r>
        <w:rPr>
          <w:rFonts w:hint="eastAsia"/>
        </w:rPr>
        <w:t>1.9</w:t>
      </w:r>
      <w:r>
        <w:rPr>
          <w:rFonts w:hint="eastAsia"/>
        </w:rPr>
        <w:t>亿美元收购美国</w:t>
      </w:r>
      <w:r>
        <w:rPr>
          <w:rFonts w:hint="eastAsia"/>
        </w:rPr>
        <w:t xml:space="preserve">Rex </w:t>
      </w:r>
      <w:r>
        <w:rPr>
          <w:rFonts w:hint="eastAsia"/>
        </w:rPr>
        <w:t>能源公司的</w:t>
      </w:r>
      <w:r>
        <w:rPr>
          <w:rFonts w:hint="eastAsia"/>
        </w:rPr>
        <w:t>Marcellus</w:t>
      </w:r>
      <w:r>
        <w:rPr>
          <w:rFonts w:hint="eastAsia"/>
        </w:rPr>
        <w:t>区块，同年</w:t>
      </w:r>
      <w:r>
        <w:rPr>
          <w:rFonts w:hint="eastAsia"/>
        </w:rPr>
        <w:t>4</w:t>
      </w:r>
      <w:r>
        <w:rPr>
          <w:rFonts w:hint="eastAsia"/>
        </w:rPr>
        <w:t>月、</w:t>
      </w:r>
      <w:r>
        <w:rPr>
          <w:rFonts w:hint="eastAsia"/>
        </w:rPr>
        <w:t>6</w:t>
      </w:r>
      <w:r>
        <w:rPr>
          <w:rFonts w:hint="eastAsia"/>
        </w:rPr>
        <w:t>月，印度</w:t>
      </w:r>
      <w:r>
        <w:rPr>
          <w:rFonts w:hint="eastAsia"/>
        </w:rPr>
        <w:t xml:space="preserve"> Relianace</w:t>
      </w:r>
      <w:r>
        <w:rPr>
          <w:rFonts w:hint="eastAsia"/>
        </w:rPr>
        <w:t>公司分别以</w:t>
      </w:r>
      <w:r>
        <w:rPr>
          <w:rFonts w:hint="eastAsia"/>
        </w:rPr>
        <w:t>17</w:t>
      </w:r>
      <w:r>
        <w:rPr>
          <w:rFonts w:hint="eastAsia"/>
        </w:rPr>
        <w:t>亿美元、</w:t>
      </w:r>
      <w:r>
        <w:rPr>
          <w:rFonts w:hint="eastAsia"/>
        </w:rPr>
        <w:t>13</w:t>
      </w:r>
      <w:r>
        <w:rPr>
          <w:rFonts w:hint="eastAsia"/>
        </w:rPr>
        <w:t>亿美元收购美国</w:t>
      </w:r>
      <w:r>
        <w:rPr>
          <w:rFonts w:hint="eastAsia"/>
        </w:rPr>
        <w:t xml:space="preserve"> Atlas</w:t>
      </w:r>
      <w:r>
        <w:rPr>
          <w:rFonts w:hint="eastAsia"/>
        </w:rPr>
        <w:t>资源公司的</w:t>
      </w:r>
      <w:r>
        <w:rPr>
          <w:rFonts w:hint="eastAsia"/>
        </w:rPr>
        <w:t>Marcellus</w:t>
      </w:r>
      <w:r>
        <w:rPr>
          <w:rFonts w:hint="eastAsia"/>
        </w:rPr>
        <w:t>区块、</w:t>
      </w:r>
      <w:r>
        <w:rPr>
          <w:rFonts w:hint="eastAsia"/>
        </w:rPr>
        <w:t>Pioneer Natural</w:t>
      </w:r>
      <w:r>
        <w:rPr>
          <w:rFonts w:hint="eastAsia"/>
        </w:rPr>
        <w:t>资源公司</w:t>
      </w:r>
      <w:r>
        <w:rPr>
          <w:rFonts w:hint="eastAsia"/>
        </w:rPr>
        <w:t>Eagle Fort</w:t>
      </w:r>
      <w:r>
        <w:rPr>
          <w:rFonts w:hint="eastAsia"/>
        </w:rPr>
        <w:t>区块。</w:t>
      </w:r>
    </w:p>
    <w:p w:rsidR="00CA619C" w:rsidRDefault="00CA619C" w:rsidP="00CA619C">
      <w:pPr>
        <w:ind w:firstLine="480"/>
        <w:rPr>
          <w:rFonts w:hint="eastAsia"/>
        </w:rPr>
      </w:pPr>
      <w:r>
        <w:rPr>
          <w:rFonts w:hint="eastAsia"/>
        </w:rPr>
        <w:t>加拿大是继美国之后第二个实现页岩气商业化开采的国家，</w:t>
      </w:r>
      <w:r>
        <w:rPr>
          <w:rFonts w:hint="eastAsia"/>
        </w:rPr>
        <w:t>2009</w:t>
      </w:r>
      <w:r>
        <w:rPr>
          <w:rFonts w:hint="eastAsia"/>
        </w:rPr>
        <w:t>年的产量已达到</w:t>
      </w:r>
      <w:r>
        <w:rPr>
          <w:rFonts w:hint="eastAsia"/>
        </w:rPr>
        <w:t>72</w:t>
      </w:r>
      <w:r>
        <w:rPr>
          <w:rFonts w:hint="eastAsia"/>
        </w:rPr>
        <w:t>亿立方米。目前全球已有三十多个国家展开页岩气的勘探开发工作，但是北美以外国家的页岩气开发总体上仍处于初级阶段。欧洲（除俄罗斯以外）页岩气技术可采资源量相对较低，但分布广泛，主要集中在波兰、法国、挪威、乌克兰和瑞典等国。波兰的页岩气可采资源量为欧洲之最，预计未来</w:t>
      </w:r>
      <w:r>
        <w:rPr>
          <w:rFonts w:hint="eastAsia"/>
        </w:rPr>
        <w:t>10-15</w:t>
      </w:r>
      <w:r>
        <w:rPr>
          <w:rFonts w:hint="eastAsia"/>
        </w:rPr>
        <w:t>年波兰每年可提供</w:t>
      </w:r>
      <w:r>
        <w:rPr>
          <w:rFonts w:hint="eastAsia"/>
        </w:rPr>
        <w:t>200</w:t>
      </w:r>
      <w:r>
        <w:rPr>
          <w:rFonts w:hint="eastAsia"/>
        </w:rPr>
        <w:t>亿</w:t>
      </w:r>
      <w:r>
        <w:rPr>
          <w:rFonts w:hint="eastAsia"/>
        </w:rPr>
        <w:t>-300</w:t>
      </w:r>
      <w:r>
        <w:rPr>
          <w:rFonts w:hint="eastAsia"/>
        </w:rPr>
        <w:t>亿立方米天然气。此外，德国、英国、西班牙等国也已开始开展页岩气研究和试探性开发，部分企业已着手商业性勘探开发。但在法国，由于担心页岩气的开采会对水资源管理带来较大负面影响，已暂时停止相关开采活动。总体来看，由于欧洲缺少大型石油服务行业，人口稠密，政治限制多，且存在更严格的环保要求，因此欧洲距离实现页岩气大规模商业开发仍为时尚远。</w:t>
      </w:r>
    </w:p>
    <w:p w:rsidR="00CA619C" w:rsidRDefault="00CA619C" w:rsidP="00CA619C">
      <w:pPr>
        <w:ind w:firstLine="480"/>
        <w:rPr>
          <w:rFonts w:hint="eastAsia"/>
        </w:rPr>
      </w:pPr>
      <w:r>
        <w:rPr>
          <w:rFonts w:hint="eastAsia"/>
        </w:rPr>
        <w:t>拉丁美洲的页岩气资源主要集中在阿根廷、墨西哥和巴西等国。目前道达尔、埃克森美孚等能源公司已经开始与阿根廷国内的石油公司合作，参与其国内矿区页岩气的开采。墨西哥的页岩气可采资源量位列世界第四，</w:t>
      </w:r>
      <w:r>
        <w:rPr>
          <w:rFonts w:hint="eastAsia"/>
        </w:rPr>
        <w:t>2011</w:t>
      </w:r>
      <w:r>
        <w:rPr>
          <w:rFonts w:hint="eastAsia"/>
        </w:rPr>
        <w:t>年</w:t>
      </w:r>
      <w:r>
        <w:rPr>
          <w:rFonts w:hint="eastAsia"/>
        </w:rPr>
        <w:t>10</w:t>
      </w:r>
      <w:r>
        <w:rPr>
          <w:rFonts w:hint="eastAsia"/>
        </w:rPr>
        <w:t>月墨西哥北部与美交界处发现大规模页岩气田，预计该气田能满足墨西哥</w:t>
      </w:r>
      <w:r>
        <w:rPr>
          <w:rFonts w:hint="eastAsia"/>
        </w:rPr>
        <w:t>90</w:t>
      </w:r>
      <w:r>
        <w:rPr>
          <w:rFonts w:hint="eastAsia"/>
        </w:rPr>
        <w:t>多年的天然气需求。</w:t>
      </w:r>
    </w:p>
    <w:p w:rsidR="00CA619C" w:rsidRDefault="00CA619C" w:rsidP="00CA619C">
      <w:pPr>
        <w:ind w:firstLine="480"/>
        <w:rPr>
          <w:rFonts w:hint="eastAsia"/>
        </w:rPr>
      </w:pPr>
      <w:r>
        <w:rPr>
          <w:rFonts w:hint="eastAsia"/>
        </w:rPr>
        <w:t>在亚太地区，中国和澳大利亚的页岩气储量都很丰富，以及印度、印尼都已相继开始对页岩气资源展开调查与勘探。目前中国页岩气开发刚刚起步，总体处于以资源评估与勘探为主的探索和准备阶段。</w:t>
      </w:r>
    </w:p>
    <w:p w:rsidR="00CA619C" w:rsidRDefault="00CA619C" w:rsidP="00CA619C">
      <w:pPr>
        <w:pStyle w:val="Heading4"/>
        <w:tabs>
          <w:tab w:val="left" w:pos="864"/>
        </w:tabs>
        <w:rPr>
          <w:rFonts w:hint="eastAsia"/>
        </w:rPr>
      </w:pPr>
      <w:r>
        <w:rPr>
          <w:rFonts w:hint="eastAsia"/>
        </w:rPr>
        <w:t>世界页岩气技术水平</w:t>
      </w:r>
    </w:p>
    <w:p w:rsidR="00CA619C" w:rsidRDefault="00CA619C" w:rsidP="00CA619C">
      <w:pPr>
        <w:ind w:firstLine="480"/>
        <w:rPr>
          <w:rFonts w:hint="eastAsia"/>
        </w:rPr>
      </w:pPr>
      <w:r>
        <w:rPr>
          <w:rFonts w:hint="eastAsia"/>
        </w:rPr>
        <w:t>美国页岩气的勘探开发技术走在世界的前列。目前，美国已经掌握了从气藏分析、数据收集和地层评价、钻井、压裂到完井和生产系统集成技术，并且积极研究产生了一批国际领先的专业服务公司，如哈里伯顿、斯伦贝谢、贝克休斯等。围绕页岩气开采，美国形成了一个技术创新特征明显的新兴产业，并已开始向全球进行技术和装备输出。</w:t>
      </w:r>
    </w:p>
    <w:p w:rsidR="00CA619C" w:rsidRDefault="00CA619C" w:rsidP="00CA619C">
      <w:pPr>
        <w:ind w:firstLine="480"/>
        <w:rPr>
          <w:rFonts w:hint="eastAsia"/>
        </w:rPr>
      </w:pPr>
      <w:r>
        <w:rPr>
          <w:rFonts w:hint="eastAsia"/>
        </w:rPr>
        <w:t>现阶段，美国页岩气开发在压裂技术、压裂液和体积改造等技术方面有大幅度的改进，对页岩气的单井产量、环境保护和低成本等方面做出巨大贡献。第一，美国水平压裂已进入具有旋转导向系统的二代技术时代。美国专业服务公司贝克休斯、斯伦贝谢和哈里伯顿等通过各种方式分别形成了其各自商业化应用的</w:t>
      </w:r>
      <w:r>
        <w:rPr>
          <w:rFonts w:hint="eastAsia"/>
        </w:rPr>
        <w:t>PowerDrive SRD</w:t>
      </w:r>
      <w:r>
        <w:rPr>
          <w:rFonts w:hint="eastAsia"/>
        </w:rPr>
        <w:t>、</w:t>
      </w:r>
      <w:r>
        <w:rPr>
          <w:rFonts w:hint="eastAsia"/>
        </w:rPr>
        <w:t>AutoTrak RCLS</w:t>
      </w:r>
      <w:r>
        <w:rPr>
          <w:rFonts w:hint="eastAsia"/>
        </w:rPr>
        <w:t>和</w:t>
      </w:r>
      <w:r>
        <w:rPr>
          <w:rFonts w:hint="eastAsia"/>
        </w:rPr>
        <w:t>Geo-Pilot</w:t>
      </w:r>
      <w:r>
        <w:rPr>
          <w:rFonts w:hint="eastAsia"/>
        </w:rPr>
        <w:t>旋转导向钻井系统。如斯伦贝谢</w:t>
      </w:r>
      <w:r>
        <w:rPr>
          <w:rFonts w:hint="eastAsia"/>
        </w:rPr>
        <w:t>PowerDrive SRD</w:t>
      </w:r>
      <w:r>
        <w:rPr>
          <w:rFonts w:hint="eastAsia"/>
        </w:rPr>
        <w:t>，通过电子成像和声波仪器识别天然裂缝和钻井诱导裂缝，进而寻找渗透率最高的页岩区域，减少对栖息地影响，提高钻井效率和实现单井产量最大化和投资效益最大化。第二，在压裂液方面，美国采用了食物添加剂作为化学凝胶、采取低毒的阻垢剂以及使用更安全和可降解的戊二醛混合剂，这些都大大提高了压裂液的安全环保性，同时，也减少了压裂液的使用量。第三，“井工厂”的理念应用于非常规气的勘探开发，有利于增加勘探开发效益。利用最小的丛式井场使钻井开发并网覆盖区域最大化，为后期的批量化钻井作业、压裂施工奠定基础，使地面工程及生产管理得到简化。它可以实现设备利用的最大化，泥浆重复利用，减少泥浆的交替，以及压裂工厂化流程能够在一个丛式井平台上压裂</w:t>
      </w:r>
      <w:r>
        <w:rPr>
          <w:rFonts w:hint="eastAsia"/>
        </w:rPr>
        <w:t>22</w:t>
      </w:r>
      <w:r>
        <w:rPr>
          <w:rFonts w:hint="eastAsia"/>
        </w:rPr>
        <w:t>口井，极大地提高了效率。</w:t>
      </w:r>
    </w:p>
    <w:p w:rsidR="00CA619C" w:rsidRDefault="00CA619C" w:rsidP="00CA619C">
      <w:pPr>
        <w:ind w:firstLine="480"/>
        <w:rPr>
          <w:rFonts w:hint="eastAsia"/>
        </w:rPr>
      </w:pPr>
      <w:r>
        <w:rPr>
          <w:rFonts w:hint="eastAsia"/>
        </w:rPr>
        <w:t>目前，美国天然气技术研究院（</w:t>
      </w:r>
      <w:r>
        <w:rPr>
          <w:rFonts w:hint="eastAsia"/>
        </w:rPr>
        <w:t>GTI</w:t>
      </w:r>
      <w:r>
        <w:rPr>
          <w:rFonts w:hint="eastAsia"/>
        </w:rPr>
        <w:t>）正在研究精密井孔装置（</w:t>
      </w:r>
      <w:r>
        <w:rPr>
          <w:rFonts w:hint="eastAsia"/>
        </w:rPr>
        <w:t>Precision Wellbore Placement</w:t>
      </w:r>
      <w:r>
        <w:rPr>
          <w:rFonts w:hint="eastAsia"/>
        </w:rPr>
        <w:t>）技术，即通过精确定位垂直井的位置，使得地下水平井可以在这一个垂直井的基础上以伞状方式向四面八方展开。预计此技术需要</w:t>
      </w:r>
      <w:r>
        <w:rPr>
          <w:rFonts w:hint="eastAsia"/>
        </w:rPr>
        <w:t>10</w:t>
      </w:r>
      <w:r>
        <w:rPr>
          <w:rFonts w:hint="eastAsia"/>
        </w:rPr>
        <w:t>年左右的时间完成。同时，美国能源部正与相关行业和企业合作研究环境保护方面的新技术，其中包括地质学数据管理技术、监管方面的数据管理技术、增产技术、压裂技术、减少环境污染技术以及减少水资源浪费等技术。此外，美国能源部也资助关于页岩气开发中水管理的技术研究项目。</w:t>
      </w:r>
    </w:p>
    <w:p w:rsidR="00CA619C" w:rsidRDefault="00CA619C" w:rsidP="00CA619C">
      <w:pPr>
        <w:pStyle w:val="Heading3"/>
        <w:numPr>
          <w:ilvl w:val="2"/>
          <w:numId w:val="1"/>
        </w:numPr>
        <w:rPr>
          <w:rFonts w:hint="eastAsia"/>
        </w:rPr>
      </w:pPr>
      <w:bookmarkStart w:id="57" w:name="_Toc392853120"/>
      <w:r>
        <w:rPr>
          <w:rFonts w:hint="eastAsia"/>
        </w:rPr>
        <w:t>中国页岩气产业现状与技术水平</w:t>
      </w:r>
      <w:bookmarkEnd w:id="57"/>
    </w:p>
    <w:p w:rsidR="00CA619C" w:rsidRDefault="00CA619C" w:rsidP="00CA619C">
      <w:pPr>
        <w:pStyle w:val="Heading4"/>
        <w:rPr>
          <w:rFonts w:hint="eastAsia"/>
        </w:rPr>
      </w:pPr>
      <w:r>
        <w:rPr>
          <w:rFonts w:hint="eastAsia"/>
        </w:rPr>
        <w:t>我国页岩气产业发展现状</w:t>
      </w:r>
    </w:p>
    <w:p w:rsidR="00CA619C" w:rsidRDefault="00CA619C" w:rsidP="00CA619C">
      <w:pPr>
        <w:ind w:firstLine="480"/>
        <w:rPr>
          <w:rFonts w:hint="eastAsia"/>
        </w:rPr>
      </w:pPr>
      <w:r>
        <w:rPr>
          <w:rFonts w:hint="eastAsia"/>
        </w:rPr>
        <w:t>2012</w:t>
      </w:r>
      <w:r>
        <w:rPr>
          <w:rFonts w:hint="eastAsia"/>
        </w:rPr>
        <w:t>年</w:t>
      </w:r>
      <w:r>
        <w:rPr>
          <w:rFonts w:hint="eastAsia"/>
        </w:rPr>
        <w:t>3</w:t>
      </w:r>
      <w:r>
        <w:rPr>
          <w:rFonts w:hint="eastAsia"/>
        </w:rPr>
        <w:t>月，国土资源部发布中国陆域页岩气资源潜力评价初步成果，中国陆上页岩气地质资源潜力和可采资源潜力分别为</w:t>
      </w:r>
      <w:r>
        <w:rPr>
          <w:rFonts w:hint="eastAsia"/>
        </w:rPr>
        <w:t>134.42</w:t>
      </w:r>
      <w:r>
        <w:rPr>
          <w:rFonts w:hint="eastAsia"/>
        </w:rPr>
        <w:t>万亿立方米、</w:t>
      </w:r>
      <w:r>
        <w:rPr>
          <w:rFonts w:hint="eastAsia"/>
        </w:rPr>
        <w:t>25.08</w:t>
      </w:r>
      <w:r>
        <w:rPr>
          <w:rFonts w:hint="eastAsia"/>
        </w:rPr>
        <w:t>万亿立方米（不含青藏区）。优选出页岩气有利区</w:t>
      </w:r>
      <w:r>
        <w:rPr>
          <w:rFonts w:hint="eastAsia"/>
        </w:rPr>
        <w:t>180</w:t>
      </w:r>
      <w:r>
        <w:rPr>
          <w:rFonts w:hint="eastAsia"/>
        </w:rPr>
        <w:t>个。评价结果表明，中国页岩气资源潜力大，分布面积广、发育层系多，开发前景广阔。据初步统计，截至</w:t>
      </w:r>
      <w:r>
        <w:rPr>
          <w:rFonts w:hint="eastAsia"/>
        </w:rPr>
        <w:t>2013</w:t>
      </w:r>
      <w:r>
        <w:rPr>
          <w:rFonts w:hint="eastAsia"/>
        </w:rPr>
        <w:t>年底，全国页岩气勘查开发累计投资近</w:t>
      </w:r>
      <w:r>
        <w:rPr>
          <w:rFonts w:hint="eastAsia"/>
        </w:rPr>
        <w:t>150</w:t>
      </w:r>
      <w:r>
        <w:rPr>
          <w:rFonts w:hint="eastAsia"/>
        </w:rPr>
        <w:t>亿元，我国累计完成页岩气钻井</w:t>
      </w:r>
      <w:r>
        <w:rPr>
          <w:rFonts w:hint="eastAsia"/>
        </w:rPr>
        <w:t>285</w:t>
      </w:r>
      <w:r>
        <w:rPr>
          <w:rFonts w:hint="eastAsia"/>
        </w:rPr>
        <w:t>口，其中调查井</w:t>
      </w:r>
      <w:r>
        <w:rPr>
          <w:rFonts w:hint="eastAsia"/>
        </w:rPr>
        <w:t>105</w:t>
      </w:r>
      <w:r>
        <w:rPr>
          <w:rFonts w:hint="eastAsia"/>
        </w:rPr>
        <w:t>口（直井）、探井</w:t>
      </w:r>
      <w:r>
        <w:rPr>
          <w:rFonts w:hint="eastAsia"/>
        </w:rPr>
        <w:t>94</w:t>
      </w:r>
      <w:r>
        <w:rPr>
          <w:rFonts w:hint="eastAsia"/>
        </w:rPr>
        <w:t>口（直井），评价井</w:t>
      </w:r>
      <w:r>
        <w:rPr>
          <w:rFonts w:hint="eastAsia"/>
        </w:rPr>
        <w:t>86</w:t>
      </w:r>
      <w:r>
        <w:rPr>
          <w:rFonts w:hint="eastAsia"/>
        </w:rPr>
        <w:t>口（水平井），压裂日产超万方的</w:t>
      </w:r>
      <w:r>
        <w:rPr>
          <w:rFonts w:hint="eastAsia"/>
        </w:rPr>
        <w:t>38</w:t>
      </w:r>
      <w:r>
        <w:rPr>
          <w:rFonts w:hint="eastAsia"/>
        </w:rPr>
        <w:t>口，超</w:t>
      </w:r>
      <w:r>
        <w:rPr>
          <w:rFonts w:hint="eastAsia"/>
        </w:rPr>
        <w:t>10</w:t>
      </w:r>
      <w:r>
        <w:rPr>
          <w:rFonts w:hint="eastAsia"/>
        </w:rPr>
        <w:t>万方的</w:t>
      </w:r>
      <w:r>
        <w:rPr>
          <w:rFonts w:hint="eastAsia"/>
        </w:rPr>
        <w:t>23</w:t>
      </w:r>
      <w:r>
        <w:rPr>
          <w:rFonts w:hint="eastAsia"/>
        </w:rPr>
        <w:t>口，</w:t>
      </w:r>
      <w:r>
        <w:rPr>
          <w:rFonts w:hint="eastAsia"/>
        </w:rPr>
        <w:t>2013</w:t>
      </w:r>
      <w:r>
        <w:rPr>
          <w:rFonts w:hint="eastAsia"/>
        </w:rPr>
        <w:t>年我国页岩气产量达</w:t>
      </w:r>
      <w:r>
        <w:rPr>
          <w:rFonts w:hint="eastAsia"/>
        </w:rPr>
        <w:t>2</w:t>
      </w:r>
      <w:r>
        <w:rPr>
          <w:rFonts w:hint="eastAsia"/>
        </w:rPr>
        <w:t>亿立方米，</w:t>
      </w:r>
      <w:r>
        <w:rPr>
          <w:rFonts w:hint="eastAsia"/>
        </w:rPr>
        <w:t>2014</w:t>
      </w:r>
      <w:r>
        <w:rPr>
          <w:rFonts w:hint="eastAsia"/>
        </w:rPr>
        <w:t>年有望超过</w:t>
      </w:r>
      <w:r>
        <w:rPr>
          <w:rFonts w:hint="eastAsia"/>
        </w:rPr>
        <w:t>15</w:t>
      </w:r>
      <w:r>
        <w:rPr>
          <w:rFonts w:hint="eastAsia"/>
        </w:rPr>
        <w:t>亿立方米。</w:t>
      </w:r>
    </w:p>
    <w:p w:rsidR="00CA619C" w:rsidRDefault="00CA619C" w:rsidP="00CA619C">
      <w:pPr>
        <w:ind w:firstLine="480"/>
        <w:rPr>
          <w:rFonts w:hint="eastAsia"/>
        </w:rPr>
      </w:pPr>
      <w:r>
        <w:rPr>
          <w:rFonts w:hint="eastAsia"/>
        </w:rPr>
        <w:t>国内石油公司和招标区块的勘探开发活动均取得较快进展，各大油气企业主要在四川盆地及周缘、鄂尔多斯、渤海湾盆地进行钻井，取得了一定开发进展。据初步统计，截至到</w:t>
      </w:r>
      <w:r>
        <w:rPr>
          <w:rFonts w:hint="eastAsia"/>
        </w:rPr>
        <w:t>2014</w:t>
      </w:r>
      <w:r>
        <w:rPr>
          <w:rFonts w:hint="eastAsia"/>
        </w:rPr>
        <w:t>年</w:t>
      </w:r>
      <w:r>
        <w:rPr>
          <w:rFonts w:hint="eastAsia"/>
        </w:rPr>
        <w:t>3</w:t>
      </w:r>
      <w:r>
        <w:rPr>
          <w:rFonts w:hint="eastAsia"/>
        </w:rPr>
        <w:t>月，我国石油公司累计投入</w:t>
      </w:r>
      <w:r>
        <w:rPr>
          <w:rFonts w:hint="eastAsia"/>
        </w:rPr>
        <w:t>100</w:t>
      </w:r>
      <w:r>
        <w:rPr>
          <w:rFonts w:hint="eastAsia"/>
        </w:rPr>
        <w:t>多亿元，开展二维地震</w:t>
      </w:r>
      <w:r>
        <w:rPr>
          <w:rFonts w:hint="eastAsia"/>
        </w:rPr>
        <w:t>10000</w:t>
      </w:r>
      <w:r>
        <w:rPr>
          <w:rFonts w:hint="eastAsia"/>
        </w:rPr>
        <w:t>公里，三维地震</w:t>
      </w:r>
      <w:r>
        <w:rPr>
          <w:rFonts w:hint="eastAsia"/>
        </w:rPr>
        <w:t>1000</w:t>
      </w:r>
      <w:r>
        <w:rPr>
          <w:rFonts w:hint="eastAsia"/>
        </w:rPr>
        <w:t>多平方公里，初步评价</w:t>
      </w:r>
      <w:r>
        <w:rPr>
          <w:rFonts w:hint="eastAsia"/>
        </w:rPr>
        <w:t>6-10</w:t>
      </w:r>
      <w:r>
        <w:rPr>
          <w:rFonts w:hint="eastAsia"/>
        </w:rPr>
        <w:t>万亿立斱米的勘探靶区，石油公司在常规油气区块中选择页岩气有利区块申请增列页岩气探矿权</w:t>
      </w:r>
      <w:r>
        <w:rPr>
          <w:rFonts w:hint="eastAsia"/>
        </w:rPr>
        <w:t>24</w:t>
      </w:r>
      <w:r>
        <w:rPr>
          <w:rFonts w:hint="eastAsia"/>
        </w:rPr>
        <w:t>个，勘探面积</w:t>
      </w:r>
      <w:r>
        <w:rPr>
          <w:rFonts w:hint="eastAsia"/>
        </w:rPr>
        <w:t>10</w:t>
      </w:r>
      <w:r>
        <w:rPr>
          <w:rFonts w:hint="eastAsia"/>
        </w:rPr>
        <w:t>万多平方公里。</w:t>
      </w:r>
    </w:p>
    <w:p w:rsidR="00CA619C" w:rsidRDefault="00CA619C" w:rsidP="00CA619C">
      <w:pPr>
        <w:numPr>
          <w:ilvl w:val="0"/>
          <w:numId w:val="5"/>
        </w:numPr>
        <w:spacing w:line="360" w:lineRule="auto"/>
        <w:rPr>
          <w:rFonts w:hint="eastAsia"/>
          <w:b/>
        </w:rPr>
      </w:pPr>
      <w:r>
        <w:rPr>
          <w:rFonts w:hint="eastAsia"/>
          <w:b/>
        </w:rPr>
        <w:t>中石油页岩气勘探开发进展</w:t>
      </w:r>
    </w:p>
    <w:p w:rsidR="00CA619C" w:rsidRDefault="00CA619C" w:rsidP="00CA619C">
      <w:pPr>
        <w:ind w:firstLineChars="147" w:firstLine="309"/>
        <w:rPr>
          <w:rFonts w:ascii="宋体" w:hAnsi="宋体" w:hint="eastAsia"/>
        </w:rPr>
      </w:pPr>
      <w:r>
        <w:rPr>
          <w:rFonts w:ascii="宋体" w:hAnsi="宋体" w:hint="eastAsia"/>
        </w:rPr>
        <w:t>目前，中石油集团正在积极调整企业能源业务结构，已逐步将页岩气勘探开发提升为非常规油气开发业务的主要组成部分，并</w:t>
      </w:r>
      <w:r>
        <w:rPr>
          <w:rFonts w:hint="eastAsia"/>
          <w:lang w:val="en"/>
        </w:rPr>
        <w:t>通过应用水平井体积压裂技术和工具，持续推动四川威远</w:t>
      </w:r>
      <w:r>
        <w:rPr>
          <w:rFonts w:hint="eastAsia"/>
          <w:lang w:val="en"/>
        </w:rPr>
        <w:t>-</w:t>
      </w:r>
      <w:r>
        <w:rPr>
          <w:rFonts w:hint="eastAsia"/>
          <w:lang w:val="en"/>
        </w:rPr>
        <w:t>长宁和云南昭通两个国家级页岩气示范区建设。</w:t>
      </w:r>
      <w:r>
        <w:rPr>
          <w:rFonts w:ascii="宋体" w:hAnsi="宋体" w:hint="eastAsia"/>
        </w:rPr>
        <w:t>据初步统计，截至2013年底，中石油共完成地质浅井14口，探井28口，其中：直井21口，水平井7口；中石油还优选了4个海相有利目标区域，主要是四川威远、长宁、富顺-永川，及云南昭通地区。</w:t>
      </w:r>
    </w:p>
    <w:p w:rsidR="00CA619C" w:rsidRDefault="00CA619C" w:rsidP="00CA619C">
      <w:pPr>
        <w:ind w:firstLineChars="147" w:firstLine="309"/>
        <w:rPr>
          <w:rFonts w:ascii="宋体" w:hAnsi="宋体" w:hint="eastAsia"/>
        </w:rPr>
      </w:pPr>
      <w:r>
        <w:rPr>
          <w:rFonts w:ascii="宋体" w:hAnsi="宋体" w:hint="eastAsia"/>
        </w:rPr>
        <w:t>依托在四川长宁-威远和云南昭通这两个国家级页岩气示范区，以及富顺-永川国际合作区开展的页岩气勘探开发活动，中石油也已经取得较大进展。</w:t>
      </w:r>
    </w:p>
    <w:p w:rsidR="00CA619C" w:rsidRDefault="00CA619C" w:rsidP="00CA619C">
      <w:pPr>
        <w:numPr>
          <w:ilvl w:val="0"/>
          <w:numId w:val="6"/>
        </w:numPr>
        <w:spacing w:line="360" w:lineRule="auto"/>
        <w:rPr>
          <w:rFonts w:ascii="宋体" w:hAnsi="宋体" w:hint="eastAsia"/>
          <w:b/>
        </w:rPr>
      </w:pPr>
      <w:r>
        <w:rPr>
          <w:rFonts w:ascii="宋体" w:hAnsi="宋体" w:hint="eastAsia"/>
          <w:b/>
        </w:rPr>
        <w:t>长宁-威远国家级页岩气示范区进展</w:t>
      </w:r>
    </w:p>
    <w:p w:rsidR="00CA619C" w:rsidRDefault="00CA619C" w:rsidP="00CA619C">
      <w:pPr>
        <w:ind w:firstLineChars="147" w:firstLine="309"/>
        <w:rPr>
          <w:rFonts w:ascii="宋体" w:hAnsi="宋体" w:hint="eastAsia"/>
        </w:rPr>
      </w:pPr>
      <w:r>
        <w:rPr>
          <w:rFonts w:ascii="宋体" w:hAnsi="宋体" w:hint="eastAsia"/>
        </w:rPr>
        <w:t>据初步统计，截至2013年底，四川长宁-威远国家级页岩气示范区完钻</w:t>
      </w:r>
      <w:r>
        <w:rPr>
          <w:rFonts w:ascii="宋体" w:hAnsi="宋体"/>
        </w:rPr>
        <w:t>16</w:t>
      </w:r>
      <w:r>
        <w:rPr>
          <w:rFonts w:ascii="宋体" w:hAnsi="宋体" w:hint="eastAsia"/>
        </w:rPr>
        <w:t>口井，完成压裂试气12口井，直井日产量0.2-3.3万方，水平井日产量1-16万方，其中宁201-H1井日产15万方。</w:t>
      </w:r>
      <w:r>
        <w:rPr>
          <w:rFonts w:hint="eastAsia"/>
          <w:lang w:val="en"/>
        </w:rPr>
        <w:t>目前，长宁</w:t>
      </w:r>
      <w:r>
        <w:rPr>
          <w:rFonts w:hint="eastAsia"/>
          <w:lang w:val="en"/>
        </w:rPr>
        <w:t>-</w:t>
      </w:r>
      <w:r>
        <w:rPr>
          <w:rFonts w:hint="eastAsia"/>
          <w:lang w:val="en"/>
        </w:rPr>
        <w:t>威远国家级页岩气示范区已经进入第三步阶段，并提出“</w:t>
      </w:r>
      <w:r>
        <w:rPr>
          <w:rFonts w:hint="eastAsia"/>
          <w:lang w:val="en"/>
        </w:rPr>
        <w:t>2015</w:t>
      </w:r>
      <w:r>
        <w:rPr>
          <w:rFonts w:hint="eastAsia"/>
          <w:lang w:val="en"/>
        </w:rPr>
        <w:t>年产气</w:t>
      </w:r>
      <w:r>
        <w:rPr>
          <w:rFonts w:hint="eastAsia"/>
          <w:lang w:val="en"/>
        </w:rPr>
        <w:t>20</w:t>
      </w:r>
      <w:r>
        <w:rPr>
          <w:rFonts w:hint="eastAsia"/>
          <w:lang w:val="en"/>
        </w:rPr>
        <w:t>亿立方米”的目标。</w:t>
      </w:r>
    </w:p>
    <w:p w:rsidR="00CA619C" w:rsidRDefault="00CA619C" w:rsidP="00CA619C">
      <w:pPr>
        <w:ind w:firstLineChars="147" w:firstLine="309"/>
        <w:rPr>
          <w:rFonts w:hint="eastAsia"/>
          <w:lang w:val="en"/>
        </w:rPr>
      </w:pPr>
      <w:r>
        <w:rPr>
          <w:rFonts w:ascii="宋体" w:hAnsi="宋体" w:hint="eastAsia"/>
        </w:rPr>
        <w:t>2013年以来，中石油在</w:t>
      </w:r>
      <w:r>
        <w:rPr>
          <w:rFonts w:hint="eastAsia"/>
          <w:lang w:val="en"/>
        </w:rPr>
        <w:t>长宁</w:t>
      </w:r>
      <w:r>
        <w:rPr>
          <w:rFonts w:hint="eastAsia"/>
          <w:lang w:val="en"/>
        </w:rPr>
        <w:t>-</w:t>
      </w:r>
      <w:r>
        <w:rPr>
          <w:rFonts w:hint="eastAsia"/>
          <w:lang w:val="en"/>
        </w:rPr>
        <w:t>威远地区的页岩气规模开发速度加快，其中威</w:t>
      </w:r>
      <w:r>
        <w:rPr>
          <w:rFonts w:hint="eastAsia"/>
          <w:lang w:val="en"/>
        </w:rPr>
        <w:t>204H</w:t>
      </w:r>
      <w:r>
        <w:rPr>
          <w:rFonts w:hint="eastAsia"/>
          <w:lang w:val="en"/>
        </w:rPr>
        <w:t>井压裂施工采用自主研发的复合桥塞分段压裂工艺技术，分</w:t>
      </w:r>
      <w:r>
        <w:rPr>
          <w:rFonts w:hint="eastAsia"/>
          <w:lang w:val="en"/>
        </w:rPr>
        <w:t>11</w:t>
      </w:r>
      <w:r>
        <w:rPr>
          <w:rFonts w:hint="eastAsia"/>
          <w:lang w:val="en"/>
        </w:rPr>
        <w:t>段改造后获得初期产量</w:t>
      </w:r>
      <w:r>
        <w:rPr>
          <w:rFonts w:hint="eastAsia"/>
          <w:lang w:val="en"/>
        </w:rPr>
        <w:t>16</w:t>
      </w:r>
      <w:r>
        <w:rPr>
          <w:rFonts w:hint="eastAsia"/>
          <w:lang w:val="en"/>
        </w:rPr>
        <w:t>万立方米</w:t>
      </w:r>
      <w:r>
        <w:rPr>
          <w:rFonts w:hint="eastAsia"/>
          <w:lang w:val="en"/>
        </w:rPr>
        <w:t>/</w:t>
      </w:r>
      <w:r>
        <w:rPr>
          <w:rFonts w:hint="eastAsia"/>
          <w:lang w:val="en"/>
        </w:rPr>
        <w:t>日，为该技术的规模化应用奠定了基础。同时，据中石油公司</w:t>
      </w:r>
      <w:r>
        <w:rPr>
          <w:rFonts w:hint="eastAsia"/>
          <w:lang w:val="en"/>
        </w:rPr>
        <w:t>2013</w:t>
      </w:r>
      <w:r>
        <w:rPr>
          <w:rFonts w:hint="eastAsia"/>
          <w:lang w:val="en"/>
        </w:rPr>
        <w:t>年年报数据，</w:t>
      </w:r>
      <w:r>
        <w:rPr>
          <w:rFonts w:hint="eastAsia"/>
          <w:lang w:val="en"/>
        </w:rPr>
        <w:t>2013</w:t>
      </w:r>
      <w:r>
        <w:rPr>
          <w:rFonts w:hint="eastAsia"/>
          <w:lang w:val="en"/>
        </w:rPr>
        <w:t>年</w:t>
      </w:r>
      <w:r>
        <w:rPr>
          <w:rFonts w:hint="eastAsia"/>
          <w:lang w:val="en"/>
        </w:rPr>
        <w:t>6</w:t>
      </w:r>
      <w:r>
        <w:rPr>
          <w:rFonts w:hint="eastAsia"/>
          <w:lang w:val="en"/>
        </w:rPr>
        <w:t>月中石油正式启动长宁页岩气试采干线建设工程，管道全长</w:t>
      </w:r>
      <w:r>
        <w:rPr>
          <w:rFonts w:hint="eastAsia"/>
          <w:lang w:val="en"/>
        </w:rPr>
        <w:t>93.7</w:t>
      </w:r>
      <w:r>
        <w:rPr>
          <w:rFonts w:hint="eastAsia"/>
          <w:lang w:val="en"/>
        </w:rPr>
        <w:t>千米，设计输量</w:t>
      </w:r>
      <w:r>
        <w:rPr>
          <w:rFonts w:hint="eastAsia"/>
          <w:lang w:val="en"/>
        </w:rPr>
        <w:t>450</w:t>
      </w:r>
      <w:r>
        <w:rPr>
          <w:rFonts w:hint="eastAsia"/>
          <w:lang w:val="en"/>
        </w:rPr>
        <w:t>万立方米</w:t>
      </w:r>
      <w:r>
        <w:rPr>
          <w:rFonts w:hint="eastAsia"/>
          <w:lang w:val="en"/>
        </w:rPr>
        <w:t>/</w:t>
      </w:r>
      <w:r>
        <w:rPr>
          <w:rFonts w:hint="eastAsia"/>
          <w:lang w:val="en"/>
        </w:rPr>
        <w:t>日，以宁</w:t>
      </w:r>
      <w:r>
        <w:rPr>
          <w:rFonts w:hint="eastAsia"/>
          <w:lang w:val="en"/>
        </w:rPr>
        <w:t>201-H1</w:t>
      </w:r>
      <w:r>
        <w:rPr>
          <w:rFonts w:hint="eastAsia"/>
          <w:lang w:val="en"/>
        </w:rPr>
        <w:t>井集气站为起点，止于双河集输末站，与四川纳溪</w:t>
      </w:r>
      <w:r>
        <w:rPr>
          <w:rFonts w:hint="eastAsia"/>
          <w:lang w:val="en"/>
        </w:rPr>
        <w:t>-</w:t>
      </w:r>
      <w:r>
        <w:rPr>
          <w:rFonts w:hint="eastAsia"/>
          <w:lang w:val="en"/>
        </w:rPr>
        <w:t>云南安边输气管线相连，计划</w:t>
      </w:r>
      <w:r>
        <w:rPr>
          <w:rFonts w:hint="eastAsia"/>
          <w:lang w:val="en"/>
        </w:rPr>
        <w:t>2014</w:t>
      </w:r>
      <w:r>
        <w:rPr>
          <w:rFonts w:hint="eastAsia"/>
          <w:lang w:val="en"/>
        </w:rPr>
        <w:t>年投入运营，实现威远</w:t>
      </w:r>
      <w:r>
        <w:rPr>
          <w:rFonts w:hint="eastAsia"/>
          <w:lang w:val="en"/>
        </w:rPr>
        <w:t>-</w:t>
      </w:r>
      <w:r>
        <w:rPr>
          <w:rFonts w:hint="eastAsia"/>
          <w:lang w:val="en"/>
        </w:rPr>
        <w:t>长宁地区页岩气的外输。</w:t>
      </w:r>
    </w:p>
    <w:p w:rsidR="00CA619C" w:rsidRDefault="00CA619C" w:rsidP="00CA619C">
      <w:pPr>
        <w:numPr>
          <w:ilvl w:val="0"/>
          <w:numId w:val="6"/>
        </w:numPr>
        <w:spacing w:line="360" w:lineRule="auto"/>
        <w:rPr>
          <w:rFonts w:ascii="宋体" w:hAnsi="宋体" w:hint="eastAsia"/>
          <w:b/>
        </w:rPr>
      </w:pPr>
      <w:r>
        <w:rPr>
          <w:rFonts w:ascii="宋体" w:hAnsi="宋体" w:hint="eastAsia"/>
          <w:b/>
        </w:rPr>
        <w:t>云南昭通国家级页岩气示范区进展</w:t>
      </w:r>
    </w:p>
    <w:p w:rsidR="00CA619C" w:rsidRDefault="00CA619C" w:rsidP="00CA619C">
      <w:pPr>
        <w:ind w:firstLineChars="147" w:firstLine="309"/>
        <w:rPr>
          <w:rFonts w:ascii="宋体" w:hAnsi="宋体" w:hint="eastAsia"/>
        </w:rPr>
      </w:pPr>
      <w:r>
        <w:rPr>
          <w:rFonts w:ascii="宋体" w:hAnsi="宋体" w:hint="eastAsia"/>
        </w:rPr>
        <w:t>据初步统计，截止2013年底，中石油在云南昭通国家级页岩气示范区共完钻</w:t>
      </w:r>
      <w:r>
        <w:rPr>
          <w:rFonts w:ascii="宋体" w:hAnsi="宋体"/>
        </w:rPr>
        <w:t>7</w:t>
      </w:r>
      <w:r>
        <w:rPr>
          <w:rFonts w:ascii="宋体" w:hAnsi="宋体" w:hint="eastAsia"/>
        </w:rPr>
        <w:t>口井，完成压裂试气2口井，直井日产0.25万立方米，水平井日产1.5万-3.6万立方米。</w:t>
      </w:r>
    </w:p>
    <w:p w:rsidR="00CA619C" w:rsidRDefault="00CA619C" w:rsidP="00CA619C">
      <w:pPr>
        <w:numPr>
          <w:ilvl w:val="0"/>
          <w:numId w:val="6"/>
        </w:numPr>
        <w:spacing w:line="360" w:lineRule="auto"/>
        <w:rPr>
          <w:rFonts w:ascii="宋体" w:hAnsi="宋体" w:hint="eastAsia"/>
          <w:b/>
        </w:rPr>
      </w:pPr>
      <w:r>
        <w:rPr>
          <w:rFonts w:ascii="宋体" w:hAnsi="宋体" w:hint="eastAsia"/>
          <w:b/>
        </w:rPr>
        <w:t>富顺</w:t>
      </w:r>
      <w:r>
        <w:rPr>
          <w:rFonts w:ascii="宋体" w:hAnsi="宋体"/>
          <w:b/>
        </w:rPr>
        <w:t>-</w:t>
      </w:r>
      <w:r>
        <w:rPr>
          <w:rFonts w:ascii="宋体" w:hAnsi="宋体" w:hint="eastAsia"/>
          <w:b/>
        </w:rPr>
        <w:t>永川国际合作区</w:t>
      </w:r>
    </w:p>
    <w:p w:rsidR="00CA619C" w:rsidRDefault="00CA619C" w:rsidP="00CA619C">
      <w:pPr>
        <w:ind w:firstLineChars="147" w:firstLine="309"/>
        <w:rPr>
          <w:rFonts w:ascii="宋体" w:hAnsi="宋体" w:hint="eastAsia"/>
        </w:rPr>
      </w:pPr>
      <w:r>
        <w:rPr>
          <w:rFonts w:ascii="宋体" w:hAnsi="宋体" w:hint="eastAsia"/>
        </w:rPr>
        <w:t>​​中石油与壳牌合作开发的富顺</w:t>
      </w:r>
      <w:r>
        <w:rPr>
          <w:rFonts w:ascii="宋体" w:hAnsi="宋体"/>
        </w:rPr>
        <w:t>-</w:t>
      </w:r>
      <w:r>
        <w:rPr>
          <w:rFonts w:ascii="宋体" w:hAnsi="宋体" w:hint="eastAsia"/>
        </w:rPr>
        <w:t>永川页岩气国际合作项目位于四川盆地，合作区块面积</w:t>
      </w:r>
      <w:r>
        <w:rPr>
          <w:rFonts w:ascii="宋体" w:hAnsi="宋体"/>
        </w:rPr>
        <w:t>3503</w:t>
      </w:r>
      <w:r>
        <w:rPr>
          <w:rFonts w:ascii="宋体" w:hAnsi="宋体" w:hint="eastAsia"/>
        </w:rPr>
        <w:t>平方千米，由壳牌担任作业者。</w:t>
      </w:r>
      <w:r>
        <w:rPr>
          <w:rFonts w:ascii="宋体" w:hAnsi="宋体"/>
        </w:rPr>
        <w:t>2010</w:t>
      </w:r>
      <w:r>
        <w:rPr>
          <w:rFonts w:ascii="宋体" w:hAnsi="宋体" w:hint="eastAsia"/>
        </w:rPr>
        <w:t>年</w:t>
      </w:r>
      <w:r>
        <w:rPr>
          <w:rFonts w:ascii="宋体" w:hAnsi="宋体"/>
        </w:rPr>
        <w:t>12</w:t>
      </w:r>
      <w:r>
        <w:rPr>
          <w:rFonts w:ascii="宋体" w:hAnsi="宋体" w:hint="eastAsia"/>
        </w:rPr>
        <w:t>月，该区块开钻第一口井。据中石油2013年年报数据，</w:t>
      </w:r>
      <w:r>
        <w:rPr>
          <w:rFonts w:ascii="宋体" w:hAnsi="宋体"/>
        </w:rPr>
        <w:t>2013</w:t>
      </w:r>
      <w:r>
        <w:rPr>
          <w:rFonts w:ascii="宋体" w:hAnsi="宋体" w:hint="eastAsia"/>
        </w:rPr>
        <w:t>年中石油在富顺-永川国际合作区的页岩气勘探评价工作完钻</w:t>
      </w:r>
      <w:r>
        <w:rPr>
          <w:rFonts w:ascii="宋体" w:hAnsi="宋体"/>
        </w:rPr>
        <w:t>12</w:t>
      </w:r>
      <w:r>
        <w:rPr>
          <w:rFonts w:ascii="宋体" w:hAnsi="宋体" w:hint="eastAsia"/>
        </w:rPr>
        <w:t>口井，</w:t>
      </w:r>
      <w:r>
        <w:rPr>
          <w:rFonts w:ascii="宋体" w:hAnsi="宋体"/>
        </w:rPr>
        <w:t>4</w:t>
      </w:r>
      <w:r>
        <w:rPr>
          <w:rFonts w:ascii="宋体" w:hAnsi="宋体" w:hint="eastAsia"/>
        </w:rPr>
        <w:t>口井试采，生产页岩气近</w:t>
      </w:r>
      <w:r>
        <w:rPr>
          <w:rFonts w:ascii="宋体" w:hAnsi="宋体"/>
        </w:rPr>
        <w:t>4200</w:t>
      </w:r>
      <w:r>
        <w:rPr>
          <w:rFonts w:ascii="宋体" w:hAnsi="宋体" w:hint="eastAsia"/>
        </w:rPr>
        <w:t>万立方米。</w:t>
      </w:r>
    </w:p>
    <w:p w:rsidR="00CA619C" w:rsidRDefault="00CA619C" w:rsidP="00CA619C">
      <w:pPr>
        <w:ind w:firstLineChars="147" w:firstLine="309"/>
        <w:rPr>
          <w:rFonts w:ascii="宋体" w:hAnsi="宋体" w:hint="eastAsia"/>
        </w:rPr>
      </w:pPr>
      <w:r>
        <w:rPr>
          <w:rFonts w:ascii="宋体" w:hAnsi="宋体" w:hint="eastAsia"/>
        </w:rPr>
        <w:t>完钻直井</w:t>
      </w:r>
      <w:r>
        <w:rPr>
          <w:rFonts w:ascii="宋体" w:hAnsi="宋体"/>
        </w:rPr>
        <w:t>3</w:t>
      </w:r>
      <w:r>
        <w:rPr>
          <w:rFonts w:ascii="宋体" w:hAnsi="宋体" w:hint="eastAsia"/>
        </w:rPr>
        <w:t>口井，水平井</w:t>
      </w:r>
      <w:r>
        <w:rPr>
          <w:rFonts w:ascii="宋体" w:hAnsi="宋体"/>
        </w:rPr>
        <w:t>3</w:t>
      </w:r>
      <w:r>
        <w:rPr>
          <w:rFonts w:ascii="宋体" w:hAnsi="宋体" w:hint="eastAsia"/>
        </w:rPr>
        <w:t>口。其中，阳101直井产气6万方/日，来101直井10万方/日，坛101H水平井4万方/日，阳201-H2井日产量达43万方。</w:t>
      </w:r>
    </w:p>
    <w:p w:rsidR="00CA619C" w:rsidRDefault="00CA619C" w:rsidP="00CA619C">
      <w:pPr>
        <w:ind w:firstLineChars="147" w:firstLine="309"/>
        <w:rPr>
          <w:rFonts w:ascii="宋体" w:hAnsi="宋体" w:hint="eastAsia"/>
        </w:rPr>
      </w:pPr>
      <w:r>
        <w:rPr>
          <w:rFonts w:ascii="宋体" w:hAnsi="宋体" w:hint="eastAsia"/>
        </w:rPr>
        <w:t>此外，除了在上述国家级页岩气示范区与国际合作区开展页岩气勘探开发活动以外，2013年中石油还分别与康菲公司、埃尼公司签订协议，联合进行四川内江—重庆大足区块、四川荣昌北区块页岩气开发。</w:t>
      </w:r>
    </w:p>
    <w:p w:rsidR="00CA619C" w:rsidRDefault="00CA619C" w:rsidP="00CA619C">
      <w:pPr>
        <w:numPr>
          <w:ilvl w:val="0"/>
          <w:numId w:val="5"/>
        </w:numPr>
        <w:spacing w:line="360" w:lineRule="auto"/>
        <w:rPr>
          <w:rFonts w:hint="eastAsia"/>
          <w:b/>
        </w:rPr>
      </w:pPr>
      <w:r>
        <w:rPr>
          <w:rFonts w:hint="eastAsia"/>
          <w:b/>
        </w:rPr>
        <w:t>中石化页岩气勘探开发进展</w:t>
      </w:r>
    </w:p>
    <w:p w:rsidR="00CA619C" w:rsidRDefault="00CA619C" w:rsidP="00CA619C">
      <w:pPr>
        <w:ind w:firstLineChars="147" w:firstLine="309"/>
        <w:rPr>
          <w:rFonts w:ascii="宋体" w:hAnsi="宋体" w:hint="eastAsia"/>
        </w:rPr>
      </w:pPr>
      <w:r>
        <w:rPr>
          <w:rFonts w:ascii="宋体" w:hAnsi="宋体" w:hint="eastAsia"/>
        </w:rPr>
        <w:t>中石化是最早响应国家号召，实施页岩油气勘探开发的央企之一。2009年，集团公司油田勘探开发事业部成立非常规勘探处，组织上游企业实施页岩油气勘探，从投资等方面对页岩油气研究和勘探开发实行倾斜政策，并开始与埃克森•美孚、康菲等全球实力雄厚的页岩气开采公司开展深度合作。</w:t>
      </w:r>
      <w:r>
        <w:rPr>
          <w:rFonts w:ascii="宋体" w:hAnsi="宋体"/>
        </w:rPr>
        <w:t>2010</w:t>
      </w:r>
      <w:r>
        <w:rPr>
          <w:rFonts w:ascii="宋体" w:hAnsi="宋体" w:hint="eastAsia"/>
        </w:rPr>
        <w:t>年，中国石化勘探南方分公司成立了页岩气勘探项目管理部和页岩气勘探研究室，此后相继制定和落实了“海陆并举”的页岩气勘探思路。到</w:t>
      </w:r>
      <w:r>
        <w:rPr>
          <w:rFonts w:ascii="宋体" w:hAnsi="宋体"/>
        </w:rPr>
        <w:t>2012</w:t>
      </w:r>
      <w:r>
        <w:rPr>
          <w:rFonts w:ascii="宋体" w:hAnsi="宋体" w:hint="eastAsia"/>
        </w:rPr>
        <w:t>年底，中石化勘探南方分公司在焦石坝地区实施的第一口页岩气井—焦页</w:t>
      </w:r>
      <w:r>
        <w:rPr>
          <w:rFonts w:ascii="宋体" w:hAnsi="宋体"/>
        </w:rPr>
        <w:t>1HF</w:t>
      </w:r>
      <w:r>
        <w:rPr>
          <w:rFonts w:ascii="宋体" w:hAnsi="宋体" w:hint="eastAsia"/>
        </w:rPr>
        <w:t>井钻获高产页岩气，开启了我国页岩气开发的新纪元，这也标志着中石化乃至我国整个页岩气开发取得了历史性突破，从此进入高速发展阶段。</w:t>
      </w:r>
      <w:r>
        <w:rPr>
          <w:rFonts w:ascii="宋体" w:hAnsi="宋体"/>
        </w:rPr>
        <w:t>2013</w:t>
      </w:r>
      <w:r>
        <w:rPr>
          <w:rFonts w:ascii="宋体" w:hAnsi="宋体" w:hint="eastAsia"/>
        </w:rPr>
        <w:t>年</w:t>
      </w:r>
      <w:r>
        <w:rPr>
          <w:rFonts w:ascii="宋体" w:hAnsi="宋体"/>
        </w:rPr>
        <w:t>6</w:t>
      </w:r>
      <w:r>
        <w:rPr>
          <w:rFonts w:ascii="宋体" w:hAnsi="宋体" w:hint="eastAsia"/>
        </w:rPr>
        <w:t>月，中石化首轮三维地震野外采集完成，</w:t>
      </w:r>
      <w:r>
        <w:rPr>
          <w:rFonts w:ascii="宋体" w:hAnsi="宋体"/>
        </w:rPr>
        <w:t>3</w:t>
      </w:r>
      <w:r>
        <w:rPr>
          <w:rFonts w:ascii="宋体" w:hAnsi="宋体" w:hint="eastAsia"/>
        </w:rPr>
        <w:t>口评价井和</w:t>
      </w:r>
      <w:r>
        <w:rPr>
          <w:rFonts w:ascii="宋体" w:hAnsi="宋体"/>
        </w:rPr>
        <w:t>12</w:t>
      </w:r>
      <w:r>
        <w:rPr>
          <w:rFonts w:ascii="宋体" w:hAnsi="宋体" w:hint="eastAsia"/>
        </w:rPr>
        <w:t>口完钻开发井均钻获高产页岩气；到</w:t>
      </w:r>
      <w:r>
        <w:rPr>
          <w:rFonts w:ascii="宋体" w:hAnsi="宋体"/>
        </w:rPr>
        <w:t>9</w:t>
      </w:r>
      <w:r>
        <w:rPr>
          <w:rFonts w:ascii="宋体" w:hAnsi="宋体" w:hint="eastAsia"/>
        </w:rPr>
        <w:t>月份，国家能源局正式批准涪陵页岩气田为国家级页岩气产能建设示范区。</w:t>
      </w:r>
    </w:p>
    <w:p w:rsidR="00CA619C" w:rsidRDefault="00CA619C" w:rsidP="00CA619C">
      <w:pPr>
        <w:ind w:firstLineChars="147" w:firstLine="309"/>
        <w:rPr>
          <w:rFonts w:ascii="宋体" w:hAnsi="宋体" w:hint="eastAsia"/>
        </w:rPr>
      </w:pPr>
      <w:r>
        <w:rPr>
          <w:rFonts w:ascii="宋体" w:hAnsi="宋体" w:hint="eastAsia"/>
        </w:rPr>
        <w:t>自焦页1HF井获得突破后，中石化勘探南方分公司迅速在焦页1HF井以南甩开部署了焦页2HF井、焦页3HF井和焦页4HF井3口评价井，评价不同水平井段长和埋藏深度页岩气产能，整体控制焦石坝构造主体。2013年7月2日，焦页1-3HF井投产，测试产量20多万方/日；9月29日，焦页6-2HF井投产，测试产量达35万方/日；10月9日，焦页8-2HF井投产，测试产量再创新高，达55万方/日。到今年6月份，焦石坝气田已实现页岩气商业性开发，日产气300多万方，建成产能11亿方/年。2014年，为扩大焦石坝气田范围，勘探南方分公司在焦石坝南部构造复杂区针对不同的构造样式部署了焦页5井、焦页6井、焦页7井和焦页8井四口探井，评价不同构造页岩气保存条件及含气性，初步预计4口井将进一步扩大焦石坝气田面积及资源量。</w:t>
      </w:r>
    </w:p>
    <w:p w:rsidR="00CA619C" w:rsidRDefault="00CA619C" w:rsidP="00CA619C">
      <w:pPr>
        <w:ind w:firstLine="480"/>
        <w:rPr>
          <w:rFonts w:hint="eastAsia"/>
        </w:rPr>
      </w:pPr>
      <w:r>
        <w:rPr>
          <w:rFonts w:hint="eastAsia"/>
        </w:rPr>
        <w:t>中石化“井工厂”的水平井组开发模式在涪陵区块焦石坝页岩气开发中得到成功应用。目前，中石油涪陵页岩气产能建设示范项目正在稳步推进中。据初步统计，截至</w:t>
      </w:r>
      <w:r>
        <w:rPr>
          <w:rFonts w:hint="eastAsia"/>
        </w:rPr>
        <w:t>2013</w:t>
      </w:r>
      <w:r>
        <w:rPr>
          <w:rFonts w:hint="eastAsia"/>
        </w:rPr>
        <w:t>年底，焦页</w:t>
      </w:r>
      <w:r>
        <w:rPr>
          <w:rFonts w:hint="eastAsia"/>
        </w:rPr>
        <w:t>1HF</w:t>
      </w:r>
      <w:r>
        <w:rPr>
          <w:rFonts w:hint="eastAsia"/>
        </w:rPr>
        <w:t>井累计产气量约</w:t>
      </w:r>
      <w:r>
        <w:rPr>
          <w:rFonts w:hint="eastAsia"/>
        </w:rPr>
        <w:t>2678</w:t>
      </w:r>
      <w:r>
        <w:rPr>
          <w:rFonts w:hint="eastAsia"/>
        </w:rPr>
        <w:t>万方，目前井口压力</w:t>
      </w:r>
      <w:r>
        <w:rPr>
          <w:rFonts w:hint="eastAsia"/>
        </w:rPr>
        <w:t>18.4MPa</w:t>
      </w:r>
      <w:r>
        <w:rPr>
          <w:rFonts w:hint="eastAsia"/>
        </w:rPr>
        <w:t>，生产稳定。同时，中石化在涪陵地区的钻井工程稳步推进，目前中石化已有</w:t>
      </w:r>
      <w:r>
        <w:rPr>
          <w:rFonts w:hint="eastAsia"/>
        </w:rPr>
        <w:t>11</w:t>
      </w:r>
      <w:r>
        <w:rPr>
          <w:rFonts w:hint="eastAsia"/>
        </w:rPr>
        <w:t>个平台，</w:t>
      </w:r>
      <w:r>
        <w:rPr>
          <w:rFonts w:hint="eastAsia"/>
        </w:rPr>
        <w:t>12</w:t>
      </w:r>
      <w:r>
        <w:rPr>
          <w:rFonts w:hint="eastAsia"/>
        </w:rPr>
        <w:t>部钻机、</w:t>
      </w:r>
      <w:r>
        <w:rPr>
          <w:rFonts w:hint="eastAsia"/>
        </w:rPr>
        <w:t>2</w:t>
      </w:r>
      <w:r>
        <w:rPr>
          <w:rFonts w:hint="eastAsia"/>
        </w:rPr>
        <w:t>套压裂车组正在涪陵地区施工，部署完成钻井平台建设</w:t>
      </w:r>
      <w:r>
        <w:rPr>
          <w:rFonts w:hint="eastAsia"/>
        </w:rPr>
        <w:t>10</w:t>
      </w:r>
      <w:r>
        <w:rPr>
          <w:rFonts w:hint="eastAsia"/>
        </w:rPr>
        <w:t>个（水平井</w:t>
      </w:r>
      <w:r>
        <w:rPr>
          <w:rFonts w:hint="eastAsia"/>
        </w:rPr>
        <w:t>24</w:t>
      </w:r>
      <w:r>
        <w:rPr>
          <w:rFonts w:hint="eastAsia"/>
        </w:rPr>
        <w:t>口），压裂</w:t>
      </w:r>
      <w:r>
        <w:rPr>
          <w:rFonts w:hint="eastAsia"/>
        </w:rPr>
        <w:t>15</w:t>
      </w:r>
      <w:r>
        <w:rPr>
          <w:rFonts w:hint="eastAsia"/>
        </w:rPr>
        <w:t>口和投入试采</w:t>
      </w:r>
      <w:r>
        <w:rPr>
          <w:rFonts w:hint="eastAsia"/>
        </w:rPr>
        <w:t>15</w:t>
      </w:r>
      <w:r>
        <w:rPr>
          <w:rFonts w:hint="eastAsia"/>
        </w:rPr>
        <w:t>口，测试产量在</w:t>
      </w:r>
      <w:r>
        <w:rPr>
          <w:rFonts w:hint="eastAsia"/>
        </w:rPr>
        <w:t>13.4</w:t>
      </w:r>
      <w:r>
        <w:rPr>
          <w:rFonts w:hint="eastAsia"/>
        </w:rPr>
        <w:t>～</w:t>
      </w:r>
      <w:r>
        <w:rPr>
          <w:rFonts w:hint="eastAsia"/>
        </w:rPr>
        <w:t>54.7</w:t>
      </w:r>
      <w:r>
        <w:rPr>
          <w:rFonts w:hint="eastAsia"/>
        </w:rPr>
        <w:t>万立方米</w:t>
      </w:r>
      <w:r>
        <w:rPr>
          <w:rFonts w:hint="eastAsia"/>
        </w:rPr>
        <w:t>/</w:t>
      </w:r>
      <w:r>
        <w:rPr>
          <w:rFonts w:hint="eastAsia"/>
        </w:rPr>
        <w:t>日之间，无阻流量在</w:t>
      </w:r>
      <w:r>
        <w:rPr>
          <w:rFonts w:hint="eastAsia"/>
        </w:rPr>
        <w:t>15</w:t>
      </w:r>
      <w:r>
        <w:rPr>
          <w:rFonts w:hint="eastAsia"/>
        </w:rPr>
        <w:t>～</w:t>
      </w:r>
      <w:r>
        <w:rPr>
          <w:rFonts w:hint="eastAsia"/>
        </w:rPr>
        <w:t>156</w:t>
      </w:r>
      <w:r>
        <w:rPr>
          <w:rFonts w:hint="eastAsia"/>
        </w:rPr>
        <w:t>万立方米</w:t>
      </w:r>
      <w:r>
        <w:rPr>
          <w:rFonts w:hint="eastAsia"/>
        </w:rPr>
        <w:t>/</w:t>
      </w:r>
      <w:r>
        <w:rPr>
          <w:rFonts w:hint="eastAsia"/>
        </w:rPr>
        <w:t>日之间，日产量已达</w:t>
      </w:r>
      <w:r>
        <w:rPr>
          <w:rFonts w:hint="eastAsia"/>
        </w:rPr>
        <w:t>200</w:t>
      </w:r>
      <w:r>
        <w:rPr>
          <w:rFonts w:hint="eastAsia"/>
        </w:rPr>
        <w:t>万立方米，已形成了</w:t>
      </w:r>
      <w:r>
        <w:rPr>
          <w:rFonts w:hint="eastAsia"/>
        </w:rPr>
        <w:t>6</w:t>
      </w:r>
      <w:r>
        <w:rPr>
          <w:rFonts w:hint="eastAsia"/>
        </w:rPr>
        <w:t>～</w:t>
      </w:r>
      <w:r>
        <w:rPr>
          <w:rFonts w:hint="eastAsia"/>
        </w:rPr>
        <w:t>7</w:t>
      </w:r>
      <w:r>
        <w:rPr>
          <w:rFonts w:hint="eastAsia"/>
        </w:rPr>
        <w:t>亿立方米</w:t>
      </w:r>
      <w:r>
        <w:rPr>
          <w:rFonts w:hint="eastAsia"/>
        </w:rPr>
        <w:t>/</w:t>
      </w:r>
      <w:r>
        <w:rPr>
          <w:rFonts w:hint="eastAsia"/>
        </w:rPr>
        <w:t>年的产能，截止</w:t>
      </w:r>
      <w:r>
        <w:rPr>
          <w:rFonts w:hint="eastAsia"/>
        </w:rPr>
        <w:t>2013</w:t>
      </w:r>
      <w:r>
        <w:rPr>
          <w:rFonts w:hint="eastAsia"/>
        </w:rPr>
        <w:t>年底，累计产气量</w:t>
      </w:r>
      <w:r>
        <w:rPr>
          <w:rFonts w:hint="eastAsia"/>
        </w:rPr>
        <w:t>14849</w:t>
      </w:r>
      <w:r>
        <w:rPr>
          <w:rFonts w:hint="eastAsia"/>
        </w:rPr>
        <w:t>万立方米。据初步统计，截至今年</w:t>
      </w:r>
      <w:r>
        <w:rPr>
          <w:rFonts w:hint="eastAsia"/>
        </w:rPr>
        <w:t>5</w:t>
      </w:r>
      <w:r>
        <w:rPr>
          <w:rFonts w:hint="eastAsia"/>
        </w:rPr>
        <w:t>月</w:t>
      </w:r>
      <w:r>
        <w:rPr>
          <w:rFonts w:hint="eastAsia"/>
        </w:rPr>
        <w:t>17</w:t>
      </w:r>
      <w:r>
        <w:rPr>
          <w:rFonts w:hint="eastAsia"/>
        </w:rPr>
        <w:t>日，中石化在涪陵页岩气田</w:t>
      </w:r>
      <w:r>
        <w:rPr>
          <w:rFonts w:hint="eastAsia"/>
        </w:rPr>
        <w:t>280</w:t>
      </w:r>
      <w:r>
        <w:rPr>
          <w:rFonts w:hint="eastAsia"/>
        </w:rPr>
        <w:t>平方公里一期产建区，已开钻页岩气井</w:t>
      </w:r>
      <w:r>
        <w:rPr>
          <w:rFonts w:hint="eastAsia"/>
        </w:rPr>
        <w:t>82</w:t>
      </w:r>
      <w:r>
        <w:rPr>
          <w:rFonts w:hint="eastAsia"/>
        </w:rPr>
        <w:t>口，完钻</w:t>
      </w:r>
      <w:r>
        <w:rPr>
          <w:rFonts w:hint="eastAsia"/>
        </w:rPr>
        <w:t>47</w:t>
      </w:r>
      <w:r>
        <w:rPr>
          <w:rFonts w:hint="eastAsia"/>
        </w:rPr>
        <w:t>口，投产</w:t>
      </w:r>
      <w:r>
        <w:rPr>
          <w:rFonts w:hint="eastAsia"/>
        </w:rPr>
        <w:t>27</w:t>
      </w:r>
      <w:r>
        <w:rPr>
          <w:rFonts w:hint="eastAsia"/>
        </w:rPr>
        <w:t>口，平均单井日产气</w:t>
      </w:r>
      <w:r>
        <w:rPr>
          <w:rFonts w:hint="eastAsia"/>
        </w:rPr>
        <w:t>11</w:t>
      </w:r>
      <w:r>
        <w:rPr>
          <w:rFonts w:hint="eastAsia"/>
        </w:rPr>
        <w:t>万方以上。今年内，该区域将规划投产</w:t>
      </w:r>
      <w:r>
        <w:rPr>
          <w:rFonts w:hint="eastAsia"/>
        </w:rPr>
        <w:t>100</w:t>
      </w:r>
      <w:r>
        <w:rPr>
          <w:rFonts w:hint="eastAsia"/>
        </w:rPr>
        <w:t>口井左右。</w:t>
      </w:r>
    </w:p>
    <w:p w:rsidR="00CA619C" w:rsidRDefault="00CA619C" w:rsidP="00CA619C">
      <w:pPr>
        <w:ind w:firstLineChars="147" w:firstLine="309"/>
        <w:rPr>
          <w:rFonts w:ascii="宋体" w:hAnsi="宋体" w:hint="eastAsia"/>
        </w:rPr>
      </w:pPr>
    </w:p>
    <w:p w:rsidR="00CA619C" w:rsidRDefault="00CA619C" w:rsidP="00CA619C">
      <w:pPr>
        <w:ind w:firstLineChars="147" w:firstLine="309"/>
        <w:rPr>
          <w:rFonts w:ascii="宋体" w:hAnsi="宋体" w:hint="eastAsia"/>
        </w:rPr>
      </w:pPr>
    </w:p>
    <w:p w:rsidR="00CA619C" w:rsidRDefault="00CA619C" w:rsidP="00CA619C">
      <w:pPr>
        <w:ind w:firstLineChars="147" w:firstLine="309"/>
        <w:rPr>
          <w:rFonts w:ascii="宋体" w:hAnsi="宋体" w:hint="eastAsia"/>
        </w:rPr>
      </w:pPr>
    </w:p>
    <w:p w:rsidR="00CA619C" w:rsidRDefault="00CA619C" w:rsidP="00CA619C">
      <w:pPr>
        <w:ind w:firstLineChars="147" w:firstLine="309"/>
        <w:rPr>
          <w:rFonts w:ascii="宋体" w:hAnsi="宋体" w:hint="eastAsia"/>
        </w:rPr>
      </w:pPr>
    </w:p>
    <w:p w:rsidR="00CA619C" w:rsidRDefault="00CA619C" w:rsidP="00CA619C">
      <w:pPr>
        <w:ind w:firstLineChars="147" w:firstLine="309"/>
        <w:rPr>
          <w:rFonts w:ascii="宋体" w:hAnsi="宋体" w:hint="eastAsia"/>
        </w:rPr>
      </w:pPr>
    </w:p>
    <w:p w:rsidR="00CA619C" w:rsidRDefault="00CA619C" w:rsidP="00CA619C">
      <w:pPr>
        <w:widowControl/>
        <w:ind w:firstLine="480"/>
        <w:jc w:val="center"/>
        <w:rPr>
          <w:rFonts w:ascii="宋体" w:hAnsi="宋体" w:cs="宋体"/>
          <w:kern w:val="0"/>
        </w:rPr>
      </w:pPr>
      <w:r>
        <w:rPr>
          <w:rFonts w:ascii="宋体" w:hAnsi="宋体" w:cs="宋体"/>
          <w:noProof/>
          <w:kern w:val="0"/>
          <w:lang w:eastAsia="en-US"/>
        </w:rPr>
        <w:drawing>
          <wp:inline distT="0" distB="0" distL="0" distR="0">
            <wp:extent cx="4272280" cy="3830955"/>
            <wp:effectExtent l="0" t="0" r="0" b="4445"/>
            <wp:docPr id="27" name="Picture 8" descr="CZLB``92UTBB{P]R$U0K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ZLB``92UTBB{P]R$U0KS@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72280" cy="3830955"/>
                    </a:xfrm>
                    <a:prstGeom prst="rect">
                      <a:avLst/>
                    </a:prstGeom>
                    <a:noFill/>
                    <a:ln>
                      <a:noFill/>
                    </a:ln>
                  </pic:spPr>
                </pic:pic>
              </a:graphicData>
            </a:graphic>
          </wp:inline>
        </w:drawing>
      </w:r>
    </w:p>
    <w:p w:rsidR="00CA619C" w:rsidRDefault="00CA619C" w:rsidP="00CA619C">
      <w:pPr>
        <w:pStyle w:val="a3"/>
      </w:pPr>
      <w:bookmarkStart w:id="58" w:name="_Toc392853211"/>
      <w:r>
        <w:rPr>
          <w:rFonts w:hint="eastAsia"/>
        </w:rPr>
        <w:t>中石化焦石坝地区五峰组</w:t>
      </w:r>
      <w:r>
        <w:rPr>
          <w:rFonts w:hint="eastAsia"/>
        </w:rPr>
        <w:t>-</w:t>
      </w:r>
      <w:r>
        <w:rPr>
          <w:rFonts w:hint="eastAsia"/>
        </w:rPr>
        <w:t>龙马溪组一段气藏（矿权范围内）日产量</w:t>
      </w:r>
      <w:bookmarkEnd w:id="58"/>
    </w:p>
    <w:p w:rsidR="00CA619C" w:rsidRDefault="00CA619C" w:rsidP="00CA619C">
      <w:pPr>
        <w:pStyle w:val="a2"/>
        <w:ind w:left="840"/>
        <w:rPr>
          <w:rFonts w:hint="eastAsia"/>
        </w:rPr>
      </w:pPr>
      <w:r>
        <w:rPr>
          <w:rFonts w:hint="eastAsia"/>
        </w:rPr>
        <w:t>（资料来源：包书景，中国页岩气发展的机遇与挑战，</w:t>
      </w:r>
      <w:r>
        <w:rPr>
          <w:rFonts w:hint="eastAsia"/>
        </w:rPr>
        <w:t>2014</w:t>
      </w:r>
      <w:r>
        <w:rPr>
          <w:rFonts w:hint="eastAsia"/>
        </w:rPr>
        <w:t>年</w:t>
      </w:r>
      <w:r>
        <w:rPr>
          <w:rFonts w:hint="eastAsia"/>
        </w:rPr>
        <w:t>3</w:t>
      </w:r>
      <w:r>
        <w:rPr>
          <w:rFonts w:hint="eastAsia"/>
        </w:rPr>
        <w:t>月。）</w:t>
      </w:r>
    </w:p>
    <w:p w:rsidR="00CA619C" w:rsidRDefault="00CA619C" w:rsidP="00CA619C">
      <w:pPr>
        <w:numPr>
          <w:ilvl w:val="0"/>
          <w:numId w:val="5"/>
        </w:numPr>
        <w:spacing w:line="360" w:lineRule="auto"/>
        <w:rPr>
          <w:rFonts w:hint="eastAsia"/>
          <w:b/>
        </w:rPr>
      </w:pPr>
      <w:r>
        <w:rPr>
          <w:rFonts w:hint="eastAsia"/>
          <w:b/>
        </w:rPr>
        <w:t>延长石油鄂尔多斯陆相取得重要进展：</w:t>
      </w:r>
    </w:p>
    <w:p w:rsidR="00CA619C" w:rsidRDefault="00CA619C" w:rsidP="00CA619C">
      <w:pPr>
        <w:ind w:firstLine="480"/>
        <w:rPr>
          <w:rFonts w:hint="eastAsia"/>
        </w:rPr>
      </w:pPr>
      <w:r>
        <w:rPr>
          <w:rFonts w:hint="eastAsia"/>
        </w:rPr>
        <w:t>据初步统计，截止</w:t>
      </w:r>
      <w:r>
        <w:rPr>
          <w:rFonts w:hint="eastAsia"/>
        </w:rPr>
        <w:t>2013</w:t>
      </w:r>
      <w:r>
        <w:rPr>
          <w:rFonts w:hint="eastAsia"/>
        </w:rPr>
        <w:t>年底，延长石油在鄂尔多斯陆相三叠系和上古生界，完钻页岩气井</w:t>
      </w:r>
      <w:r>
        <w:rPr>
          <w:rFonts w:hint="eastAsia"/>
        </w:rPr>
        <w:t>39</w:t>
      </w:r>
      <w:r>
        <w:rPr>
          <w:rFonts w:hint="eastAsia"/>
        </w:rPr>
        <w:t>口（直井</w:t>
      </w:r>
      <w:r>
        <w:rPr>
          <w:rFonts w:hint="eastAsia"/>
        </w:rPr>
        <w:t>32/</w:t>
      </w:r>
      <w:r>
        <w:rPr>
          <w:rFonts w:hint="eastAsia"/>
        </w:rPr>
        <w:t>丛式直井</w:t>
      </w:r>
      <w:r>
        <w:rPr>
          <w:rFonts w:hint="eastAsia"/>
        </w:rPr>
        <w:t>3/</w:t>
      </w:r>
      <w:r>
        <w:rPr>
          <w:rFonts w:hint="eastAsia"/>
        </w:rPr>
        <w:t>水平井</w:t>
      </w:r>
      <w:r>
        <w:rPr>
          <w:rFonts w:hint="eastAsia"/>
        </w:rPr>
        <w:t>4</w:t>
      </w:r>
      <w:r>
        <w:rPr>
          <w:rFonts w:hint="eastAsia"/>
        </w:rPr>
        <w:t>）。完成压裂</w:t>
      </w:r>
      <w:r>
        <w:rPr>
          <w:rFonts w:hint="eastAsia"/>
        </w:rPr>
        <w:t>34</w:t>
      </w:r>
      <w:r>
        <w:rPr>
          <w:rFonts w:hint="eastAsia"/>
        </w:rPr>
        <w:t>口（直井</w:t>
      </w:r>
      <w:r>
        <w:rPr>
          <w:rFonts w:hint="eastAsia"/>
        </w:rPr>
        <w:t>28</w:t>
      </w:r>
      <w:r>
        <w:rPr>
          <w:rFonts w:hint="eastAsia"/>
        </w:rPr>
        <w:t>口</w:t>
      </w:r>
      <w:r>
        <w:rPr>
          <w:rFonts w:hint="eastAsia"/>
        </w:rPr>
        <w:t>/</w:t>
      </w:r>
      <w:r>
        <w:rPr>
          <w:rFonts w:hint="eastAsia"/>
        </w:rPr>
        <w:t>丛式直井</w:t>
      </w:r>
      <w:r>
        <w:rPr>
          <w:rFonts w:hint="eastAsia"/>
        </w:rPr>
        <w:t>3</w:t>
      </w:r>
      <w:r>
        <w:rPr>
          <w:rFonts w:hint="eastAsia"/>
        </w:rPr>
        <w:t>口</w:t>
      </w:r>
      <w:r>
        <w:rPr>
          <w:rFonts w:hint="eastAsia"/>
        </w:rPr>
        <w:t>/</w:t>
      </w:r>
      <w:r>
        <w:rPr>
          <w:rFonts w:hint="eastAsia"/>
        </w:rPr>
        <w:t>水平井</w:t>
      </w:r>
      <w:r>
        <w:rPr>
          <w:rFonts w:hint="eastAsia"/>
        </w:rPr>
        <w:t>3</w:t>
      </w:r>
      <w:r>
        <w:rPr>
          <w:rFonts w:hint="eastAsia"/>
        </w:rPr>
        <w:t>口，均获页岩气流）。柳评</w:t>
      </w:r>
      <w:r>
        <w:rPr>
          <w:rFonts w:hint="eastAsia"/>
        </w:rPr>
        <w:t>177</w:t>
      </w:r>
      <w:r>
        <w:rPr>
          <w:rFonts w:hint="eastAsia"/>
        </w:rPr>
        <w:t>井日产量达</w:t>
      </w:r>
      <w:r>
        <w:rPr>
          <w:rFonts w:hint="eastAsia"/>
        </w:rPr>
        <w:t>2350</w:t>
      </w:r>
      <w:r>
        <w:rPr>
          <w:rFonts w:hint="eastAsia"/>
        </w:rPr>
        <w:t>方、新</w:t>
      </w:r>
      <w:r>
        <w:rPr>
          <w:rFonts w:hint="eastAsia"/>
        </w:rPr>
        <w:t>57</w:t>
      </w:r>
      <w:r>
        <w:rPr>
          <w:rFonts w:hint="eastAsia"/>
        </w:rPr>
        <w:t>井日产量达</w:t>
      </w:r>
      <w:r>
        <w:rPr>
          <w:rFonts w:hint="eastAsia"/>
        </w:rPr>
        <w:t>2413</w:t>
      </w:r>
      <w:r>
        <w:rPr>
          <w:rFonts w:hint="eastAsia"/>
        </w:rPr>
        <w:t>方。初步落实页岩气探明面积</w:t>
      </w:r>
      <w:r>
        <w:rPr>
          <w:rFonts w:hint="eastAsia"/>
        </w:rPr>
        <w:t>130</w:t>
      </w:r>
      <w:r>
        <w:rPr>
          <w:rFonts w:hint="eastAsia"/>
        </w:rPr>
        <w:t>平方公里，落实地质储量</w:t>
      </w:r>
      <w:r>
        <w:rPr>
          <w:rFonts w:hint="eastAsia"/>
        </w:rPr>
        <w:t>290</w:t>
      </w:r>
      <w:r>
        <w:rPr>
          <w:rFonts w:hint="eastAsia"/>
        </w:rPr>
        <w:t>亿立斱米，发现了第一个陆相页岩气田。</w:t>
      </w:r>
    </w:p>
    <w:p w:rsidR="00CA619C" w:rsidRDefault="00CA619C" w:rsidP="00CA619C">
      <w:pPr>
        <w:numPr>
          <w:ilvl w:val="0"/>
          <w:numId w:val="5"/>
        </w:numPr>
        <w:spacing w:line="360" w:lineRule="auto"/>
        <w:rPr>
          <w:rFonts w:hint="eastAsia"/>
          <w:b/>
        </w:rPr>
      </w:pPr>
      <w:r>
        <w:rPr>
          <w:rFonts w:hint="eastAsia"/>
          <w:b/>
        </w:rPr>
        <w:t>招标区块页岩气勘探开发进展</w:t>
      </w:r>
    </w:p>
    <w:p w:rsidR="00CA619C" w:rsidRDefault="00CA619C" w:rsidP="00CA619C">
      <w:pPr>
        <w:ind w:firstLineChars="150" w:firstLine="315"/>
        <w:rPr>
          <w:rFonts w:ascii="宋体" w:hAnsi="宋体" w:hint="eastAsia"/>
        </w:rPr>
      </w:pPr>
      <w:r>
        <w:rPr>
          <w:rFonts w:ascii="宋体" w:hAnsi="宋体" w:hint="eastAsia"/>
        </w:rPr>
        <w:t>2011年以来，国土资源部组织两轮页岩气探矿权招标，共出让21个区块，面积23741.64平方公里，除中国石化外，还有17家企业中标。其中，第二轮页岩气区块招标（共计24个区块），中标19个各区块：贵州（5个）、湖南（5个）、重庆（3个）、湖北（2个）、河南（2个）、江西（1个）、浙江（1个），合计面积：19504.81平方公里，中标企业为中国华电、中国神华等16家企业。据初步统计，截至2013年底，页岩气中标区块共完成大地电磁299.4公里，航遥测量1002.09平方公里，二维地震6167.58公里，1421.8公里待完成采集处理，地质调查井10口，总进尺11427.51米，探井3口，总进尺6000米。</w:t>
      </w:r>
    </w:p>
    <w:p w:rsidR="00CA619C" w:rsidRDefault="00CA619C" w:rsidP="00CA619C">
      <w:pPr>
        <w:ind w:firstLine="480"/>
        <w:rPr>
          <w:rFonts w:hint="eastAsia"/>
        </w:rPr>
      </w:pPr>
      <w:r>
        <w:rPr>
          <w:rFonts w:hint="eastAsia"/>
        </w:rPr>
        <w:t>同时，第二轮页岩气中标区块计划投入的工作量包括：野外地质路线调查</w:t>
      </w:r>
      <w:r>
        <w:t>10848.5km</w:t>
      </w:r>
      <w:r>
        <w:rPr>
          <w:rFonts w:hint="eastAsia"/>
        </w:rPr>
        <w:t>、野外地质剖面实测</w:t>
      </w:r>
      <w:r>
        <w:t>476.5km</w:t>
      </w:r>
      <w:r>
        <w:rPr>
          <w:rFonts w:hint="eastAsia"/>
        </w:rPr>
        <w:t>、二维地震部署</w:t>
      </w:r>
      <w:r>
        <w:t>8808.8km</w:t>
      </w:r>
      <w:r>
        <w:rPr>
          <w:rFonts w:hint="eastAsia"/>
        </w:rPr>
        <w:t>、微地震检测</w:t>
      </w:r>
      <w:r>
        <w:t>486</w:t>
      </w:r>
      <w:r>
        <w:rPr>
          <w:rFonts w:hint="eastAsia"/>
        </w:rPr>
        <w:t>层次、三维地震部署</w:t>
      </w:r>
      <w:r>
        <w:t>2468.5km2</w:t>
      </w:r>
      <w:r>
        <w:rPr>
          <w:rFonts w:hint="eastAsia"/>
        </w:rPr>
        <w:t>、钻井直井部署</w:t>
      </w:r>
      <w:r>
        <w:t>216</w:t>
      </w:r>
      <w:r>
        <w:rPr>
          <w:rFonts w:hint="eastAsia"/>
        </w:rPr>
        <w:t>口、水平井</w:t>
      </w:r>
      <w:r>
        <w:t>35</w:t>
      </w:r>
      <w:r>
        <w:rPr>
          <w:rFonts w:hint="eastAsia"/>
        </w:rPr>
        <w:t>口、分析测试分析</w:t>
      </w:r>
      <w:r>
        <w:t>102274</w:t>
      </w:r>
      <w:r>
        <w:rPr>
          <w:rFonts w:hint="eastAsia"/>
        </w:rPr>
        <w:t>项次，计划总投入</w:t>
      </w:r>
      <w:r>
        <w:t>127</w:t>
      </w:r>
      <w:r>
        <w:rPr>
          <w:rFonts w:hint="eastAsia"/>
        </w:rPr>
        <w:t>亿元左右，其中</w:t>
      </w:r>
      <w:r>
        <w:t>2013</w:t>
      </w:r>
      <w:r>
        <w:rPr>
          <w:rFonts w:hint="eastAsia"/>
        </w:rPr>
        <w:t>年计划投入约</w:t>
      </w:r>
      <w:r>
        <w:t>30</w:t>
      </w:r>
      <w:r>
        <w:rPr>
          <w:rFonts w:hint="eastAsia"/>
        </w:rPr>
        <w:t>亿。据初步统计，截至到</w:t>
      </w:r>
      <w:r>
        <w:t>2013</w:t>
      </w:r>
      <w:r>
        <w:rPr>
          <w:rFonts w:hint="eastAsia"/>
        </w:rPr>
        <w:t>年</w:t>
      </w:r>
      <w:r>
        <w:t>9</w:t>
      </w:r>
      <w:r>
        <w:rPr>
          <w:rFonts w:hint="eastAsia"/>
        </w:rPr>
        <w:t>月份，初步统计完成的工作量有野外地质路线调查</w:t>
      </w:r>
      <w:r>
        <w:t>5069km</w:t>
      </w:r>
      <w:r>
        <w:rPr>
          <w:rFonts w:hint="eastAsia"/>
        </w:rPr>
        <w:t>，完成工作量的</w:t>
      </w:r>
      <w:r>
        <w:t>46%</w:t>
      </w:r>
      <w:r>
        <w:rPr>
          <w:rFonts w:hint="eastAsia"/>
        </w:rPr>
        <w:t>、野外剖面实测</w:t>
      </w:r>
      <w:r>
        <w:t>280.9km</w:t>
      </w:r>
      <w:r>
        <w:rPr>
          <w:rFonts w:hint="eastAsia"/>
        </w:rPr>
        <w:t>，完成工作量的</w:t>
      </w:r>
      <w:r>
        <w:t>58.9%</w:t>
      </w:r>
      <w:r>
        <w:rPr>
          <w:rFonts w:hint="eastAsia"/>
        </w:rPr>
        <w:t>、二维地震采集处理</w:t>
      </w:r>
      <w:r>
        <w:t>1258.1km</w:t>
      </w:r>
      <w:r>
        <w:rPr>
          <w:rFonts w:hint="eastAsia"/>
        </w:rPr>
        <w:t>，完成工作量的</w:t>
      </w:r>
      <w:r>
        <w:t>14.2%</w:t>
      </w:r>
      <w:r>
        <w:rPr>
          <w:rFonts w:hint="eastAsia"/>
        </w:rPr>
        <w:t>、钻井</w:t>
      </w:r>
      <w:r>
        <w:t>5</w:t>
      </w:r>
      <w:r>
        <w:rPr>
          <w:rFonts w:hint="eastAsia"/>
        </w:rPr>
        <w:t>口，完成工作量的</w:t>
      </w:r>
      <w:r>
        <w:t>2.3%</w:t>
      </w:r>
      <w:r>
        <w:rPr>
          <w:rFonts w:hint="eastAsia"/>
        </w:rPr>
        <w:t>、分析测试</w:t>
      </w:r>
      <w:r>
        <w:t>6750</w:t>
      </w:r>
      <w:r>
        <w:rPr>
          <w:rFonts w:hint="eastAsia"/>
        </w:rPr>
        <w:t>项次，完成工作量的</w:t>
      </w:r>
      <w:r>
        <w:t>6.6%</w:t>
      </w:r>
      <w:r>
        <w:rPr>
          <w:rFonts w:hint="eastAsia"/>
        </w:rPr>
        <w:t>。从对第二轮页岩气中标企业的工作情况进展来看，页岩气招标区块的整体工作进展缓慢。</w:t>
      </w:r>
    </w:p>
    <w:p w:rsidR="00CA619C" w:rsidRDefault="00CA619C" w:rsidP="00CA619C">
      <w:pPr>
        <w:pStyle w:val="a"/>
      </w:pPr>
      <w:bookmarkStart w:id="59" w:name="_Toc392853323"/>
      <w:r>
        <w:rPr>
          <w:rFonts w:hint="eastAsia"/>
        </w:rPr>
        <w:t>第二轮页岩气中标区块工作量统计表</w:t>
      </w:r>
      <w:bookmarkEnd w:id="59"/>
    </w:p>
    <w:tbl>
      <w:tblPr>
        <w:tblW w:w="0" w:type="auto"/>
        <w:tblLayout w:type="fixed"/>
        <w:tblLook w:val="0000" w:firstRow="0" w:lastRow="0" w:firstColumn="0" w:lastColumn="0" w:noHBand="0" w:noVBand="0"/>
      </w:tblPr>
      <w:tblGrid>
        <w:gridCol w:w="5925"/>
        <w:gridCol w:w="3471"/>
      </w:tblGrid>
      <w:tr w:rsidR="00CA619C" w:rsidTr="00CA619C">
        <w:trPr>
          <w:trHeight w:val="285"/>
        </w:trPr>
        <w:tc>
          <w:tcPr>
            <w:tcW w:w="5925" w:type="dxa"/>
            <w:tcBorders>
              <w:top w:val="single" w:sz="4" w:space="0" w:color="auto"/>
              <w:left w:val="single" w:sz="4" w:space="0" w:color="auto"/>
              <w:bottom w:val="single" w:sz="4" w:space="0" w:color="auto"/>
              <w:right w:val="single" w:sz="4" w:space="0" w:color="auto"/>
            </w:tcBorders>
          </w:tcPr>
          <w:p w:rsidR="00CA619C" w:rsidRDefault="00CA619C" w:rsidP="00CA619C">
            <w:pPr>
              <w:widowControl/>
              <w:ind w:hanging="1"/>
              <w:jc w:val="center"/>
              <w:rPr>
                <w:rFonts w:ascii="宋体" w:hAnsi="宋体" w:cs="宋体"/>
                <w:b/>
                <w:color w:val="000000"/>
                <w:kern w:val="0"/>
                <w:szCs w:val="24"/>
              </w:rPr>
            </w:pPr>
            <w:r>
              <w:rPr>
                <w:rFonts w:ascii="宋体" w:hAnsi="宋体" w:cs="宋体" w:hint="eastAsia"/>
                <w:b/>
                <w:color w:val="000000"/>
                <w:kern w:val="0"/>
                <w:szCs w:val="24"/>
              </w:rPr>
              <w:t>项目</w:t>
            </w:r>
          </w:p>
        </w:tc>
        <w:tc>
          <w:tcPr>
            <w:tcW w:w="3471" w:type="dxa"/>
            <w:tcBorders>
              <w:top w:val="single" w:sz="4" w:space="0" w:color="auto"/>
              <w:left w:val="nil"/>
              <w:bottom w:val="single" w:sz="4" w:space="0" w:color="auto"/>
              <w:right w:val="single" w:sz="4" w:space="0" w:color="auto"/>
            </w:tcBorders>
          </w:tcPr>
          <w:p w:rsidR="00CA619C" w:rsidRDefault="00CA619C" w:rsidP="00CA619C">
            <w:pPr>
              <w:widowControl/>
              <w:ind w:hanging="1"/>
              <w:jc w:val="center"/>
              <w:rPr>
                <w:rFonts w:ascii="宋体" w:hAnsi="宋体" w:cs="宋体"/>
                <w:b/>
                <w:color w:val="000000"/>
                <w:kern w:val="0"/>
                <w:szCs w:val="24"/>
              </w:rPr>
            </w:pPr>
            <w:r>
              <w:rPr>
                <w:rFonts w:ascii="宋体" w:hAnsi="宋体" w:cs="宋体" w:hint="eastAsia"/>
                <w:b/>
                <w:color w:val="000000"/>
                <w:kern w:val="0"/>
                <w:szCs w:val="24"/>
              </w:rPr>
              <w:t>合计</w:t>
            </w:r>
          </w:p>
        </w:tc>
      </w:tr>
      <w:tr w:rsidR="00CA619C" w:rsidTr="00CA619C">
        <w:trPr>
          <w:trHeight w:val="285"/>
        </w:trPr>
        <w:tc>
          <w:tcPr>
            <w:tcW w:w="5925" w:type="dxa"/>
            <w:tcBorders>
              <w:top w:val="nil"/>
              <w:left w:val="single" w:sz="4" w:space="0" w:color="auto"/>
              <w:bottom w:val="single" w:sz="4" w:space="0" w:color="auto"/>
              <w:right w:val="single" w:sz="4" w:space="0" w:color="auto"/>
            </w:tcBorders>
          </w:tcPr>
          <w:p w:rsidR="00CA619C" w:rsidRDefault="00CA619C" w:rsidP="00CA619C">
            <w:pPr>
              <w:widowControl/>
              <w:ind w:hanging="1"/>
              <w:rPr>
                <w:rFonts w:ascii="宋体" w:hAnsi="宋体" w:cs="宋体"/>
                <w:color w:val="000000"/>
                <w:kern w:val="0"/>
                <w:szCs w:val="24"/>
              </w:rPr>
            </w:pPr>
            <w:r>
              <w:rPr>
                <w:rFonts w:ascii="宋体" w:hAnsi="宋体" w:cs="宋体" w:hint="eastAsia"/>
                <w:color w:val="000000"/>
                <w:kern w:val="0"/>
                <w:szCs w:val="24"/>
              </w:rPr>
              <w:t xml:space="preserve">野外地质调查（千米） </w:t>
            </w:r>
          </w:p>
        </w:tc>
        <w:tc>
          <w:tcPr>
            <w:tcW w:w="3471" w:type="dxa"/>
            <w:tcBorders>
              <w:top w:val="nil"/>
              <w:left w:val="nil"/>
              <w:bottom w:val="single" w:sz="4" w:space="0" w:color="auto"/>
              <w:right w:val="single" w:sz="4" w:space="0" w:color="auto"/>
            </w:tcBorders>
          </w:tcPr>
          <w:p w:rsidR="00CA619C" w:rsidRDefault="00CA619C" w:rsidP="00CA619C">
            <w:pPr>
              <w:widowControl/>
              <w:ind w:hanging="1"/>
              <w:jc w:val="right"/>
              <w:rPr>
                <w:rFonts w:ascii="宋体" w:hAnsi="宋体" w:cs="Arial"/>
                <w:color w:val="000000"/>
                <w:kern w:val="0"/>
                <w:szCs w:val="24"/>
              </w:rPr>
            </w:pPr>
            <w:r>
              <w:rPr>
                <w:rFonts w:ascii="宋体" w:hAnsi="宋体" w:cs="Arial"/>
                <w:color w:val="000000"/>
                <w:kern w:val="0"/>
                <w:szCs w:val="24"/>
              </w:rPr>
              <w:t>10848.5</w:t>
            </w:r>
          </w:p>
        </w:tc>
      </w:tr>
      <w:tr w:rsidR="00CA619C" w:rsidTr="00CA619C">
        <w:trPr>
          <w:trHeight w:val="285"/>
        </w:trPr>
        <w:tc>
          <w:tcPr>
            <w:tcW w:w="5925" w:type="dxa"/>
            <w:tcBorders>
              <w:top w:val="nil"/>
              <w:left w:val="single" w:sz="4" w:space="0" w:color="auto"/>
              <w:bottom w:val="single" w:sz="4" w:space="0" w:color="auto"/>
              <w:right w:val="single" w:sz="4" w:space="0" w:color="auto"/>
            </w:tcBorders>
          </w:tcPr>
          <w:p w:rsidR="00CA619C" w:rsidRDefault="00CA619C" w:rsidP="00CA619C">
            <w:pPr>
              <w:widowControl/>
              <w:ind w:leftChars="100" w:left="211" w:hanging="1"/>
              <w:rPr>
                <w:rFonts w:ascii="宋体" w:hAnsi="宋体" w:cs="Arial"/>
                <w:color w:val="000000"/>
                <w:kern w:val="0"/>
                <w:szCs w:val="24"/>
              </w:rPr>
            </w:pPr>
            <w:r>
              <w:rPr>
                <w:rFonts w:ascii="宋体" w:hAnsi="宋体" w:cs="Arial"/>
                <w:color w:val="000000"/>
                <w:kern w:val="0"/>
                <w:szCs w:val="24"/>
              </w:rPr>
              <w:t>2013</w:t>
            </w:r>
            <w:r>
              <w:rPr>
                <w:rFonts w:ascii="宋体" w:hAnsi="宋体" w:cs="Arial" w:hint="eastAsia"/>
                <w:color w:val="000000"/>
                <w:kern w:val="0"/>
                <w:szCs w:val="24"/>
              </w:rPr>
              <w:t xml:space="preserve">年完成 </w:t>
            </w:r>
            <w:r>
              <w:rPr>
                <w:rFonts w:ascii="宋体" w:hAnsi="宋体" w:cs="宋体" w:hint="eastAsia"/>
                <w:color w:val="000000"/>
                <w:kern w:val="0"/>
                <w:szCs w:val="24"/>
              </w:rPr>
              <w:t>（千米）</w:t>
            </w:r>
          </w:p>
        </w:tc>
        <w:tc>
          <w:tcPr>
            <w:tcW w:w="3471" w:type="dxa"/>
            <w:tcBorders>
              <w:top w:val="nil"/>
              <w:left w:val="nil"/>
              <w:bottom w:val="single" w:sz="4" w:space="0" w:color="auto"/>
              <w:right w:val="single" w:sz="4" w:space="0" w:color="auto"/>
            </w:tcBorders>
          </w:tcPr>
          <w:p w:rsidR="00CA619C" w:rsidRDefault="00CA619C" w:rsidP="00CA619C">
            <w:pPr>
              <w:widowControl/>
              <w:ind w:hanging="1"/>
              <w:jc w:val="right"/>
              <w:rPr>
                <w:rFonts w:ascii="宋体" w:hAnsi="宋体" w:cs="Arial"/>
                <w:color w:val="000000"/>
                <w:kern w:val="0"/>
                <w:szCs w:val="24"/>
              </w:rPr>
            </w:pPr>
            <w:r>
              <w:rPr>
                <w:rFonts w:ascii="宋体" w:hAnsi="宋体" w:cs="Arial"/>
                <w:color w:val="000000"/>
                <w:kern w:val="0"/>
                <w:szCs w:val="24"/>
              </w:rPr>
              <w:t>5069</w:t>
            </w:r>
          </w:p>
        </w:tc>
      </w:tr>
      <w:tr w:rsidR="00CA619C" w:rsidTr="00CA619C">
        <w:trPr>
          <w:trHeight w:val="285"/>
        </w:trPr>
        <w:tc>
          <w:tcPr>
            <w:tcW w:w="5925" w:type="dxa"/>
            <w:tcBorders>
              <w:top w:val="nil"/>
              <w:left w:val="single" w:sz="4" w:space="0" w:color="auto"/>
              <w:bottom w:val="single" w:sz="4" w:space="0" w:color="auto"/>
              <w:right w:val="single" w:sz="4" w:space="0" w:color="auto"/>
            </w:tcBorders>
          </w:tcPr>
          <w:p w:rsidR="00CA619C" w:rsidRDefault="00CA619C" w:rsidP="00CA619C">
            <w:pPr>
              <w:widowControl/>
              <w:ind w:hanging="1"/>
              <w:rPr>
                <w:rFonts w:ascii="宋体" w:hAnsi="宋体" w:cs="宋体"/>
                <w:color w:val="000000"/>
                <w:kern w:val="0"/>
                <w:szCs w:val="24"/>
              </w:rPr>
            </w:pPr>
            <w:r>
              <w:rPr>
                <w:rFonts w:ascii="宋体" w:hAnsi="宋体" w:cs="宋体" w:hint="eastAsia"/>
                <w:color w:val="000000"/>
                <w:kern w:val="0"/>
                <w:szCs w:val="24"/>
              </w:rPr>
              <w:t>野外剖面调查 （千米）</w:t>
            </w:r>
          </w:p>
        </w:tc>
        <w:tc>
          <w:tcPr>
            <w:tcW w:w="3471" w:type="dxa"/>
            <w:tcBorders>
              <w:top w:val="nil"/>
              <w:left w:val="nil"/>
              <w:bottom w:val="single" w:sz="4" w:space="0" w:color="auto"/>
              <w:right w:val="single" w:sz="4" w:space="0" w:color="auto"/>
            </w:tcBorders>
          </w:tcPr>
          <w:p w:rsidR="00CA619C" w:rsidRDefault="00CA619C" w:rsidP="00CA619C">
            <w:pPr>
              <w:widowControl/>
              <w:ind w:hanging="1"/>
              <w:jc w:val="right"/>
              <w:rPr>
                <w:rFonts w:ascii="宋体" w:hAnsi="宋体" w:cs="Arial"/>
                <w:color w:val="000000"/>
                <w:kern w:val="0"/>
                <w:szCs w:val="24"/>
              </w:rPr>
            </w:pPr>
            <w:r>
              <w:rPr>
                <w:rFonts w:ascii="宋体" w:hAnsi="宋体" w:cs="Arial"/>
                <w:color w:val="000000"/>
                <w:kern w:val="0"/>
                <w:szCs w:val="24"/>
              </w:rPr>
              <w:t>476.5</w:t>
            </w:r>
          </w:p>
        </w:tc>
      </w:tr>
      <w:tr w:rsidR="00CA619C" w:rsidTr="00CA619C">
        <w:trPr>
          <w:trHeight w:val="285"/>
        </w:trPr>
        <w:tc>
          <w:tcPr>
            <w:tcW w:w="5925" w:type="dxa"/>
            <w:tcBorders>
              <w:top w:val="nil"/>
              <w:left w:val="single" w:sz="4" w:space="0" w:color="auto"/>
              <w:bottom w:val="single" w:sz="4" w:space="0" w:color="auto"/>
              <w:right w:val="single" w:sz="4" w:space="0" w:color="auto"/>
            </w:tcBorders>
          </w:tcPr>
          <w:p w:rsidR="00CA619C" w:rsidRDefault="00CA619C" w:rsidP="00CA619C">
            <w:pPr>
              <w:widowControl/>
              <w:ind w:leftChars="100" w:left="211" w:hanging="1"/>
              <w:rPr>
                <w:rFonts w:ascii="宋体" w:hAnsi="宋体" w:cs="Arial"/>
                <w:color w:val="000000"/>
                <w:kern w:val="0"/>
                <w:szCs w:val="24"/>
              </w:rPr>
            </w:pPr>
            <w:r>
              <w:rPr>
                <w:rFonts w:ascii="宋体" w:hAnsi="宋体" w:cs="Arial"/>
                <w:color w:val="000000"/>
                <w:kern w:val="0"/>
                <w:szCs w:val="24"/>
              </w:rPr>
              <w:t>2013</w:t>
            </w:r>
            <w:r>
              <w:rPr>
                <w:rFonts w:ascii="宋体" w:hAnsi="宋体" w:cs="Arial" w:hint="eastAsia"/>
                <w:color w:val="000000"/>
                <w:kern w:val="0"/>
                <w:szCs w:val="24"/>
              </w:rPr>
              <w:t xml:space="preserve">年完成 </w:t>
            </w:r>
            <w:r>
              <w:rPr>
                <w:rFonts w:ascii="宋体" w:hAnsi="宋体" w:cs="宋体" w:hint="eastAsia"/>
                <w:color w:val="000000"/>
                <w:kern w:val="0"/>
                <w:szCs w:val="24"/>
              </w:rPr>
              <w:t>（千米）</w:t>
            </w:r>
          </w:p>
        </w:tc>
        <w:tc>
          <w:tcPr>
            <w:tcW w:w="3471" w:type="dxa"/>
            <w:tcBorders>
              <w:top w:val="nil"/>
              <w:left w:val="nil"/>
              <w:bottom w:val="single" w:sz="4" w:space="0" w:color="auto"/>
              <w:right w:val="single" w:sz="4" w:space="0" w:color="auto"/>
            </w:tcBorders>
          </w:tcPr>
          <w:p w:rsidR="00CA619C" w:rsidRDefault="00CA619C" w:rsidP="00CA619C">
            <w:pPr>
              <w:widowControl/>
              <w:ind w:hanging="1"/>
              <w:jc w:val="right"/>
              <w:rPr>
                <w:rFonts w:ascii="宋体" w:hAnsi="宋体" w:cs="Arial"/>
                <w:color w:val="000000"/>
                <w:kern w:val="0"/>
                <w:szCs w:val="24"/>
              </w:rPr>
            </w:pPr>
            <w:r>
              <w:rPr>
                <w:rFonts w:ascii="宋体" w:hAnsi="宋体" w:cs="Arial"/>
                <w:color w:val="000000"/>
                <w:kern w:val="0"/>
                <w:szCs w:val="24"/>
              </w:rPr>
              <w:t>280.9</w:t>
            </w:r>
          </w:p>
        </w:tc>
      </w:tr>
      <w:tr w:rsidR="00CA619C" w:rsidTr="00CA619C">
        <w:trPr>
          <w:trHeight w:val="285"/>
        </w:trPr>
        <w:tc>
          <w:tcPr>
            <w:tcW w:w="5925" w:type="dxa"/>
            <w:tcBorders>
              <w:top w:val="nil"/>
              <w:left w:val="single" w:sz="4" w:space="0" w:color="auto"/>
              <w:bottom w:val="single" w:sz="4" w:space="0" w:color="auto"/>
              <w:right w:val="single" w:sz="4" w:space="0" w:color="auto"/>
            </w:tcBorders>
          </w:tcPr>
          <w:p w:rsidR="00CA619C" w:rsidRDefault="00CA619C" w:rsidP="00CA619C">
            <w:pPr>
              <w:widowControl/>
              <w:ind w:hanging="1"/>
              <w:rPr>
                <w:rFonts w:ascii="宋体" w:hAnsi="宋体" w:cs="宋体"/>
                <w:color w:val="000000"/>
                <w:kern w:val="0"/>
                <w:szCs w:val="24"/>
              </w:rPr>
            </w:pPr>
            <w:r>
              <w:rPr>
                <w:rFonts w:ascii="宋体" w:hAnsi="宋体" w:cs="宋体" w:hint="eastAsia"/>
                <w:color w:val="000000"/>
                <w:kern w:val="0"/>
                <w:szCs w:val="24"/>
              </w:rPr>
              <w:t>二维地震部署 （千米）</w:t>
            </w:r>
          </w:p>
        </w:tc>
        <w:tc>
          <w:tcPr>
            <w:tcW w:w="3471" w:type="dxa"/>
            <w:tcBorders>
              <w:top w:val="nil"/>
              <w:left w:val="nil"/>
              <w:bottom w:val="single" w:sz="4" w:space="0" w:color="auto"/>
              <w:right w:val="single" w:sz="4" w:space="0" w:color="auto"/>
            </w:tcBorders>
          </w:tcPr>
          <w:p w:rsidR="00CA619C" w:rsidRDefault="00CA619C" w:rsidP="00CA619C">
            <w:pPr>
              <w:widowControl/>
              <w:ind w:hanging="1"/>
              <w:jc w:val="right"/>
              <w:rPr>
                <w:rFonts w:ascii="宋体" w:hAnsi="宋体" w:cs="Arial"/>
                <w:color w:val="000000"/>
                <w:kern w:val="0"/>
                <w:szCs w:val="24"/>
              </w:rPr>
            </w:pPr>
            <w:r>
              <w:rPr>
                <w:rFonts w:ascii="宋体" w:hAnsi="宋体" w:cs="Arial"/>
                <w:color w:val="000000"/>
                <w:kern w:val="0"/>
                <w:szCs w:val="24"/>
              </w:rPr>
              <w:t>8808.8</w:t>
            </w:r>
          </w:p>
        </w:tc>
      </w:tr>
      <w:tr w:rsidR="00CA619C" w:rsidTr="00CA619C">
        <w:trPr>
          <w:trHeight w:val="285"/>
        </w:trPr>
        <w:tc>
          <w:tcPr>
            <w:tcW w:w="5925" w:type="dxa"/>
            <w:tcBorders>
              <w:top w:val="nil"/>
              <w:left w:val="single" w:sz="4" w:space="0" w:color="auto"/>
              <w:bottom w:val="single" w:sz="4" w:space="0" w:color="auto"/>
              <w:right w:val="single" w:sz="4" w:space="0" w:color="auto"/>
            </w:tcBorders>
          </w:tcPr>
          <w:p w:rsidR="00CA619C" w:rsidRDefault="00CA619C" w:rsidP="00CA619C">
            <w:pPr>
              <w:widowControl/>
              <w:ind w:leftChars="100" w:left="211" w:hanging="1"/>
              <w:rPr>
                <w:rFonts w:ascii="宋体" w:hAnsi="宋体" w:cs="Arial"/>
                <w:color w:val="000000"/>
                <w:kern w:val="0"/>
                <w:szCs w:val="24"/>
              </w:rPr>
            </w:pPr>
            <w:r>
              <w:rPr>
                <w:rFonts w:ascii="宋体" w:hAnsi="宋体" w:cs="Arial"/>
                <w:color w:val="000000"/>
                <w:kern w:val="0"/>
                <w:szCs w:val="24"/>
              </w:rPr>
              <w:t>2013</w:t>
            </w:r>
            <w:r>
              <w:rPr>
                <w:rFonts w:ascii="宋体" w:hAnsi="宋体" w:cs="Arial" w:hint="eastAsia"/>
                <w:color w:val="000000"/>
                <w:kern w:val="0"/>
                <w:szCs w:val="24"/>
              </w:rPr>
              <w:t xml:space="preserve">年完成 </w:t>
            </w:r>
            <w:r>
              <w:rPr>
                <w:rFonts w:ascii="宋体" w:hAnsi="宋体" w:cs="宋体" w:hint="eastAsia"/>
                <w:color w:val="000000"/>
                <w:kern w:val="0"/>
                <w:szCs w:val="24"/>
              </w:rPr>
              <w:t>（千米）</w:t>
            </w:r>
          </w:p>
        </w:tc>
        <w:tc>
          <w:tcPr>
            <w:tcW w:w="3471" w:type="dxa"/>
            <w:tcBorders>
              <w:top w:val="nil"/>
              <w:left w:val="nil"/>
              <w:bottom w:val="single" w:sz="4" w:space="0" w:color="auto"/>
              <w:right w:val="single" w:sz="4" w:space="0" w:color="auto"/>
            </w:tcBorders>
          </w:tcPr>
          <w:p w:rsidR="00CA619C" w:rsidRDefault="00CA619C" w:rsidP="00CA619C">
            <w:pPr>
              <w:widowControl/>
              <w:ind w:hanging="1"/>
              <w:jc w:val="right"/>
              <w:rPr>
                <w:rFonts w:ascii="宋体" w:hAnsi="宋体" w:cs="Arial"/>
                <w:color w:val="000000"/>
                <w:kern w:val="0"/>
                <w:szCs w:val="24"/>
              </w:rPr>
            </w:pPr>
            <w:r>
              <w:rPr>
                <w:rFonts w:ascii="宋体" w:hAnsi="宋体" w:cs="Arial"/>
                <w:color w:val="000000"/>
                <w:kern w:val="0"/>
                <w:szCs w:val="24"/>
              </w:rPr>
              <w:t>1258.1</w:t>
            </w:r>
          </w:p>
        </w:tc>
      </w:tr>
      <w:tr w:rsidR="00CA619C" w:rsidTr="00CA619C">
        <w:trPr>
          <w:trHeight w:val="285"/>
        </w:trPr>
        <w:tc>
          <w:tcPr>
            <w:tcW w:w="5925" w:type="dxa"/>
            <w:tcBorders>
              <w:top w:val="nil"/>
              <w:left w:val="single" w:sz="4" w:space="0" w:color="auto"/>
              <w:bottom w:val="single" w:sz="4" w:space="0" w:color="auto"/>
              <w:right w:val="single" w:sz="4" w:space="0" w:color="auto"/>
            </w:tcBorders>
          </w:tcPr>
          <w:p w:rsidR="00CA619C" w:rsidRDefault="00CA619C" w:rsidP="00CA619C">
            <w:pPr>
              <w:widowControl/>
              <w:ind w:hanging="1"/>
              <w:rPr>
                <w:rFonts w:ascii="宋体" w:hAnsi="宋体" w:cs="宋体"/>
                <w:color w:val="000000"/>
                <w:kern w:val="0"/>
                <w:szCs w:val="24"/>
              </w:rPr>
            </w:pPr>
            <w:r>
              <w:rPr>
                <w:rFonts w:ascii="宋体" w:hAnsi="宋体" w:cs="宋体" w:hint="eastAsia"/>
                <w:color w:val="000000"/>
                <w:kern w:val="0"/>
                <w:szCs w:val="24"/>
              </w:rPr>
              <w:t>微地震检测 （千米）</w:t>
            </w:r>
          </w:p>
        </w:tc>
        <w:tc>
          <w:tcPr>
            <w:tcW w:w="3471" w:type="dxa"/>
            <w:tcBorders>
              <w:top w:val="nil"/>
              <w:left w:val="nil"/>
              <w:bottom w:val="single" w:sz="4" w:space="0" w:color="auto"/>
              <w:right w:val="single" w:sz="4" w:space="0" w:color="auto"/>
            </w:tcBorders>
          </w:tcPr>
          <w:p w:rsidR="00CA619C" w:rsidRDefault="00CA619C" w:rsidP="00CA619C">
            <w:pPr>
              <w:widowControl/>
              <w:ind w:hanging="1"/>
              <w:jc w:val="right"/>
              <w:rPr>
                <w:rFonts w:ascii="宋体" w:hAnsi="宋体" w:cs="Arial"/>
                <w:color w:val="000000"/>
                <w:kern w:val="0"/>
                <w:szCs w:val="24"/>
              </w:rPr>
            </w:pPr>
            <w:r>
              <w:rPr>
                <w:rFonts w:ascii="宋体" w:hAnsi="宋体" w:cs="Arial"/>
                <w:color w:val="000000"/>
                <w:kern w:val="0"/>
                <w:szCs w:val="24"/>
              </w:rPr>
              <w:t>486</w:t>
            </w:r>
          </w:p>
        </w:tc>
      </w:tr>
      <w:tr w:rsidR="00CA619C" w:rsidTr="00CA619C">
        <w:trPr>
          <w:trHeight w:val="285"/>
        </w:trPr>
        <w:tc>
          <w:tcPr>
            <w:tcW w:w="5925" w:type="dxa"/>
            <w:tcBorders>
              <w:top w:val="nil"/>
              <w:left w:val="single" w:sz="4" w:space="0" w:color="auto"/>
              <w:bottom w:val="single" w:sz="4" w:space="0" w:color="auto"/>
              <w:right w:val="single" w:sz="4" w:space="0" w:color="auto"/>
            </w:tcBorders>
          </w:tcPr>
          <w:p w:rsidR="00CA619C" w:rsidRDefault="00CA619C" w:rsidP="00CA619C">
            <w:pPr>
              <w:widowControl/>
              <w:ind w:hanging="1"/>
              <w:rPr>
                <w:rFonts w:ascii="宋体" w:hAnsi="宋体" w:cs="宋体"/>
                <w:color w:val="000000"/>
                <w:kern w:val="0"/>
                <w:szCs w:val="24"/>
              </w:rPr>
            </w:pPr>
            <w:r>
              <w:rPr>
                <w:rFonts w:ascii="宋体" w:hAnsi="宋体" w:cs="宋体" w:hint="eastAsia"/>
                <w:color w:val="000000"/>
                <w:kern w:val="0"/>
                <w:szCs w:val="24"/>
              </w:rPr>
              <w:t>三维地震部署 （平方公里）</w:t>
            </w:r>
          </w:p>
        </w:tc>
        <w:tc>
          <w:tcPr>
            <w:tcW w:w="3471" w:type="dxa"/>
            <w:tcBorders>
              <w:top w:val="nil"/>
              <w:left w:val="nil"/>
              <w:bottom w:val="single" w:sz="4" w:space="0" w:color="auto"/>
              <w:right w:val="single" w:sz="4" w:space="0" w:color="auto"/>
            </w:tcBorders>
          </w:tcPr>
          <w:p w:rsidR="00CA619C" w:rsidRDefault="00CA619C" w:rsidP="00CA619C">
            <w:pPr>
              <w:widowControl/>
              <w:ind w:hanging="1"/>
              <w:jc w:val="right"/>
              <w:rPr>
                <w:rFonts w:ascii="宋体" w:hAnsi="宋体" w:cs="Arial"/>
                <w:color w:val="000000"/>
                <w:kern w:val="0"/>
                <w:szCs w:val="24"/>
              </w:rPr>
            </w:pPr>
            <w:r>
              <w:rPr>
                <w:rFonts w:ascii="宋体" w:hAnsi="宋体" w:cs="Arial"/>
                <w:color w:val="000000"/>
                <w:kern w:val="0"/>
                <w:szCs w:val="24"/>
              </w:rPr>
              <w:t>2468.5</w:t>
            </w:r>
          </w:p>
        </w:tc>
      </w:tr>
      <w:tr w:rsidR="00CA619C" w:rsidTr="00CA619C">
        <w:trPr>
          <w:trHeight w:val="285"/>
        </w:trPr>
        <w:tc>
          <w:tcPr>
            <w:tcW w:w="5925" w:type="dxa"/>
            <w:tcBorders>
              <w:top w:val="nil"/>
              <w:left w:val="single" w:sz="4" w:space="0" w:color="auto"/>
              <w:bottom w:val="single" w:sz="4" w:space="0" w:color="auto"/>
              <w:right w:val="single" w:sz="4" w:space="0" w:color="auto"/>
            </w:tcBorders>
          </w:tcPr>
          <w:p w:rsidR="00CA619C" w:rsidRDefault="00CA619C" w:rsidP="00CA619C">
            <w:pPr>
              <w:widowControl/>
              <w:ind w:hanging="1"/>
              <w:rPr>
                <w:rFonts w:ascii="宋体" w:hAnsi="宋体" w:cs="宋体"/>
                <w:color w:val="000000"/>
                <w:kern w:val="0"/>
                <w:szCs w:val="24"/>
              </w:rPr>
            </w:pPr>
            <w:r>
              <w:rPr>
                <w:rFonts w:ascii="宋体" w:hAnsi="宋体" w:cs="宋体" w:hint="eastAsia"/>
                <w:color w:val="000000"/>
                <w:kern w:val="0"/>
                <w:szCs w:val="24"/>
              </w:rPr>
              <w:t>钻井直井部署 （口）</w:t>
            </w:r>
          </w:p>
        </w:tc>
        <w:tc>
          <w:tcPr>
            <w:tcW w:w="3471" w:type="dxa"/>
            <w:tcBorders>
              <w:top w:val="nil"/>
              <w:left w:val="nil"/>
              <w:bottom w:val="single" w:sz="4" w:space="0" w:color="auto"/>
              <w:right w:val="single" w:sz="4" w:space="0" w:color="auto"/>
            </w:tcBorders>
          </w:tcPr>
          <w:p w:rsidR="00CA619C" w:rsidRDefault="00CA619C" w:rsidP="00CA619C">
            <w:pPr>
              <w:widowControl/>
              <w:ind w:hanging="1"/>
              <w:jc w:val="right"/>
              <w:rPr>
                <w:rFonts w:ascii="宋体" w:hAnsi="宋体" w:cs="Arial"/>
                <w:color w:val="000000"/>
                <w:kern w:val="0"/>
                <w:szCs w:val="24"/>
              </w:rPr>
            </w:pPr>
            <w:r>
              <w:rPr>
                <w:rFonts w:ascii="宋体" w:hAnsi="宋体" w:cs="Arial"/>
                <w:color w:val="000000"/>
                <w:kern w:val="0"/>
                <w:szCs w:val="24"/>
              </w:rPr>
              <w:t>216</w:t>
            </w:r>
          </w:p>
        </w:tc>
      </w:tr>
      <w:tr w:rsidR="00CA619C" w:rsidTr="00CA619C">
        <w:trPr>
          <w:trHeight w:val="285"/>
        </w:trPr>
        <w:tc>
          <w:tcPr>
            <w:tcW w:w="5925" w:type="dxa"/>
            <w:tcBorders>
              <w:top w:val="nil"/>
              <w:left w:val="single" w:sz="4" w:space="0" w:color="auto"/>
              <w:bottom w:val="single" w:sz="4" w:space="0" w:color="auto"/>
              <w:right w:val="single" w:sz="4" w:space="0" w:color="auto"/>
            </w:tcBorders>
          </w:tcPr>
          <w:p w:rsidR="00CA619C" w:rsidRDefault="00CA619C" w:rsidP="00CA619C">
            <w:pPr>
              <w:widowControl/>
              <w:ind w:leftChars="100" w:left="211" w:hanging="1"/>
              <w:rPr>
                <w:rFonts w:ascii="宋体" w:hAnsi="宋体" w:cs="Arial"/>
                <w:color w:val="000000"/>
                <w:kern w:val="0"/>
                <w:szCs w:val="24"/>
              </w:rPr>
            </w:pPr>
            <w:r>
              <w:rPr>
                <w:rFonts w:ascii="宋体" w:hAnsi="宋体" w:cs="Arial"/>
                <w:color w:val="000000"/>
                <w:kern w:val="0"/>
                <w:szCs w:val="24"/>
              </w:rPr>
              <w:t>2013</w:t>
            </w:r>
            <w:r>
              <w:rPr>
                <w:rFonts w:ascii="宋体" w:hAnsi="宋体" w:cs="Arial" w:hint="eastAsia"/>
                <w:color w:val="000000"/>
                <w:kern w:val="0"/>
                <w:szCs w:val="24"/>
              </w:rPr>
              <w:t>年完成 （口）</w:t>
            </w:r>
          </w:p>
        </w:tc>
        <w:tc>
          <w:tcPr>
            <w:tcW w:w="3471" w:type="dxa"/>
            <w:tcBorders>
              <w:top w:val="nil"/>
              <w:left w:val="nil"/>
              <w:bottom w:val="single" w:sz="4" w:space="0" w:color="auto"/>
              <w:right w:val="single" w:sz="4" w:space="0" w:color="auto"/>
            </w:tcBorders>
          </w:tcPr>
          <w:p w:rsidR="00CA619C" w:rsidRDefault="00CA619C" w:rsidP="00CA619C">
            <w:pPr>
              <w:widowControl/>
              <w:ind w:hanging="1"/>
              <w:jc w:val="right"/>
              <w:rPr>
                <w:rFonts w:ascii="宋体" w:hAnsi="宋体" w:cs="Arial"/>
                <w:color w:val="000000"/>
                <w:kern w:val="0"/>
                <w:szCs w:val="24"/>
              </w:rPr>
            </w:pPr>
            <w:r>
              <w:rPr>
                <w:rFonts w:ascii="宋体" w:hAnsi="宋体" w:cs="Arial"/>
                <w:color w:val="000000"/>
                <w:kern w:val="0"/>
                <w:szCs w:val="24"/>
              </w:rPr>
              <w:t>5</w:t>
            </w:r>
          </w:p>
        </w:tc>
      </w:tr>
      <w:tr w:rsidR="00CA619C" w:rsidTr="00CA619C">
        <w:trPr>
          <w:trHeight w:val="285"/>
        </w:trPr>
        <w:tc>
          <w:tcPr>
            <w:tcW w:w="5925" w:type="dxa"/>
            <w:tcBorders>
              <w:top w:val="nil"/>
              <w:left w:val="single" w:sz="4" w:space="0" w:color="auto"/>
              <w:bottom w:val="single" w:sz="4" w:space="0" w:color="auto"/>
              <w:right w:val="single" w:sz="4" w:space="0" w:color="auto"/>
            </w:tcBorders>
          </w:tcPr>
          <w:p w:rsidR="00CA619C" w:rsidRDefault="00CA619C" w:rsidP="00CA619C">
            <w:pPr>
              <w:widowControl/>
              <w:ind w:hanging="1"/>
              <w:rPr>
                <w:rFonts w:ascii="宋体" w:hAnsi="宋体" w:cs="宋体"/>
                <w:color w:val="000000"/>
                <w:kern w:val="0"/>
                <w:szCs w:val="24"/>
              </w:rPr>
            </w:pPr>
            <w:r>
              <w:rPr>
                <w:rFonts w:ascii="宋体" w:hAnsi="宋体" w:cs="宋体" w:hint="eastAsia"/>
                <w:color w:val="000000"/>
                <w:kern w:val="0"/>
                <w:szCs w:val="24"/>
              </w:rPr>
              <w:t>水平井部署 （口）</w:t>
            </w:r>
          </w:p>
        </w:tc>
        <w:tc>
          <w:tcPr>
            <w:tcW w:w="3471" w:type="dxa"/>
            <w:tcBorders>
              <w:top w:val="nil"/>
              <w:left w:val="nil"/>
              <w:bottom w:val="single" w:sz="4" w:space="0" w:color="auto"/>
              <w:right w:val="single" w:sz="4" w:space="0" w:color="auto"/>
            </w:tcBorders>
          </w:tcPr>
          <w:p w:rsidR="00CA619C" w:rsidRDefault="00CA619C" w:rsidP="00CA619C">
            <w:pPr>
              <w:widowControl/>
              <w:ind w:hanging="1"/>
              <w:jc w:val="right"/>
              <w:rPr>
                <w:rFonts w:ascii="宋体" w:hAnsi="宋体" w:cs="Arial"/>
                <w:color w:val="000000"/>
                <w:kern w:val="0"/>
                <w:szCs w:val="24"/>
              </w:rPr>
            </w:pPr>
            <w:r>
              <w:rPr>
                <w:rFonts w:ascii="宋体" w:hAnsi="宋体" w:cs="Arial"/>
                <w:color w:val="000000"/>
                <w:kern w:val="0"/>
                <w:szCs w:val="24"/>
              </w:rPr>
              <w:t>35</w:t>
            </w:r>
          </w:p>
        </w:tc>
      </w:tr>
      <w:tr w:rsidR="00CA619C" w:rsidTr="00CA619C">
        <w:trPr>
          <w:trHeight w:val="285"/>
        </w:trPr>
        <w:tc>
          <w:tcPr>
            <w:tcW w:w="5925" w:type="dxa"/>
            <w:tcBorders>
              <w:top w:val="nil"/>
              <w:left w:val="single" w:sz="4" w:space="0" w:color="auto"/>
              <w:bottom w:val="single" w:sz="4" w:space="0" w:color="auto"/>
              <w:right w:val="single" w:sz="4" w:space="0" w:color="auto"/>
            </w:tcBorders>
          </w:tcPr>
          <w:p w:rsidR="00CA619C" w:rsidRDefault="00CA619C" w:rsidP="00CA619C">
            <w:pPr>
              <w:widowControl/>
              <w:ind w:hanging="1"/>
              <w:rPr>
                <w:rFonts w:ascii="宋体" w:hAnsi="宋体" w:cs="宋体"/>
                <w:color w:val="000000"/>
                <w:kern w:val="0"/>
                <w:szCs w:val="24"/>
              </w:rPr>
            </w:pPr>
            <w:r>
              <w:rPr>
                <w:rFonts w:ascii="宋体" w:hAnsi="宋体" w:cs="宋体" w:hint="eastAsia"/>
                <w:color w:val="000000"/>
                <w:kern w:val="0"/>
                <w:szCs w:val="24"/>
              </w:rPr>
              <w:t>分析测试 （次）</w:t>
            </w:r>
          </w:p>
        </w:tc>
        <w:tc>
          <w:tcPr>
            <w:tcW w:w="3471" w:type="dxa"/>
            <w:tcBorders>
              <w:top w:val="nil"/>
              <w:left w:val="nil"/>
              <w:bottom w:val="single" w:sz="4" w:space="0" w:color="auto"/>
              <w:right w:val="single" w:sz="4" w:space="0" w:color="auto"/>
            </w:tcBorders>
          </w:tcPr>
          <w:p w:rsidR="00CA619C" w:rsidRDefault="00CA619C" w:rsidP="00CA619C">
            <w:pPr>
              <w:widowControl/>
              <w:ind w:hanging="1"/>
              <w:jc w:val="right"/>
              <w:rPr>
                <w:rFonts w:ascii="宋体" w:hAnsi="宋体" w:cs="Arial"/>
                <w:color w:val="000000"/>
                <w:kern w:val="0"/>
                <w:szCs w:val="24"/>
              </w:rPr>
            </w:pPr>
            <w:r>
              <w:rPr>
                <w:rFonts w:ascii="宋体" w:hAnsi="宋体" w:cs="Arial"/>
                <w:color w:val="000000"/>
                <w:kern w:val="0"/>
                <w:szCs w:val="24"/>
              </w:rPr>
              <w:t>102274</w:t>
            </w:r>
          </w:p>
        </w:tc>
      </w:tr>
      <w:tr w:rsidR="00CA619C" w:rsidTr="00CA619C">
        <w:trPr>
          <w:trHeight w:val="285"/>
        </w:trPr>
        <w:tc>
          <w:tcPr>
            <w:tcW w:w="5925" w:type="dxa"/>
            <w:tcBorders>
              <w:top w:val="nil"/>
              <w:left w:val="single" w:sz="4" w:space="0" w:color="auto"/>
              <w:bottom w:val="single" w:sz="4" w:space="0" w:color="auto"/>
              <w:right w:val="single" w:sz="4" w:space="0" w:color="auto"/>
            </w:tcBorders>
          </w:tcPr>
          <w:p w:rsidR="00CA619C" w:rsidRDefault="00CA619C" w:rsidP="00CA619C">
            <w:pPr>
              <w:widowControl/>
              <w:ind w:leftChars="100" w:left="211" w:hanging="1"/>
              <w:rPr>
                <w:rFonts w:ascii="宋体" w:hAnsi="宋体" w:cs="Arial"/>
                <w:color w:val="000000"/>
                <w:kern w:val="0"/>
                <w:szCs w:val="24"/>
              </w:rPr>
            </w:pPr>
            <w:r>
              <w:rPr>
                <w:rFonts w:ascii="宋体" w:hAnsi="宋体" w:cs="Arial"/>
                <w:color w:val="000000"/>
                <w:kern w:val="0"/>
                <w:szCs w:val="24"/>
              </w:rPr>
              <w:t>2013</w:t>
            </w:r>
            <w:r>
              <w:rPr>
                <w:rFonts w:ascii="宋体" w:hAnsi="宋体" w:cs="Arial" w:hint="eastAsia"/>
                <w:color w:val="000000"/>
                <w:kern w:val="0"/>
                <w:szCs w:val="24"/>
              </w:rPr>
              <w:t>年完成 （次）</w:t>
            </w:r>
          </w:p>
        </w:tc>
        <w:tc>
          <w:tcPr>
            <w:tcW w:w="3471" w:type="dxa"/>
            <w:tcBorders>
              <w:top w:val="nil"/>
              <w:left w:val="nil"/>
              <w:bottom w:val="single" w:sz="4" w:space="0" w:color="auto"/>
              <w:right w:val="single" w:sz="4" w:space="0" w:color="auto"/>
            </w:tcBorders>
          </w:tcPr>
          <w:p w:rsidR="00CA619C" w:rsidRDefault="00CA619C" w:rsidP="00CA619C">
            <w:pPr>
              <w:widowControl/>
              <w:ind w:hanging="1"/>
              <w:jc w:val="right"/>
              <w:rPr>
                <w:rFonts w:ascii="宋体" w:hAnsi="宋体" w:cs="Arial"/>
                <w:color w:val="000000"/>
                <w:kern w:val="0"/>
                <w:szCs w:val="24"/>
              </w:rPr>
            </w:pPr>
            <w:r>
              <w:rPr>
                <w:rFonts w:ascii="宋体" w:hAnsi="宋体" w:cs="Arial"/>
                <w:color w:val="000000"/>
                <w:kern w:val="0"/>
                <w:szCs w:val="24"/>
              </w:rPr>
              <w:t>6750</w:t>
            </w:r>
          </w:p>
        </w:tc>
      </w:tr>
      <w:tr w:rsidR="00CA619C" w:rsidTr="00CA619C">
        <w:trPr>
          <w:trHeight w:val="285"/>
        </w:trPr>
        <w:tc>
          <w:tcPr>
            <w:tcW w:w="5925" w:type="dxa"/>
            <w:tcBorders>
              <w:top w:val="nil"/>
              <w:left w:val="single" w:sz="4" w:space="0" w:color="auto"/>
              <w:bottom w:val="single" w:sz="4" w:space="0" w:color="auto"/>
              <w:right w:val="single" w:sz="4" w:space="0" w:color="auto"/>
            </w:tcBorders>
          </w:tcPr>
          <w:p w:rsidR="00CA619C" w:rsidRDefault="00CA619C" w:rsidP="00CA619C">
            <w:pPr>
              <w:widowControl/>
              <w:ind w:hanging="1"/>
              <w:rPr>
                <w:rFonts w:ascii="宋体" w:hAnsi="宋体" w:cs="Arial"/>
                <w:color w:val="000000"/>
                <w:kern w:val="0"/>
                <w:szCs w:val="24"/>
              </w:rPr>
            </w:pPr>
            <w:r>
              <w:rPr>
                <w:rFonts w:ascii="宋体" w:hAnsi="宋体" w:cs="Arial"/>
                <w:color w:val="000000"/>
                <w:kern w:val="0"/>
                <w:szCs w:val="24"/>
              </w:rPr>
              <w:t>2013</w:t>
            </w:r>
            <w:r>
              <w:rPr>
                <w:rFonts w:ascii="宋体" w:hAnsi="宋体" w:cs="Arial" w:hint="eastAsia"/>
                <w:color w:val="000000"/>
                <w:kern w:val="0"/>
                <w:szCs w:val="24"/>
              </w:rPr>
              <w:t xml:space="preserve">年计划投入 </w:t>
            </w:r>
            <w:r>
              <w:rPr>
                <w:rFonts w:ascii="宋体" w:hAnsi="宋体" w:cs="宋体" w:hint="eastAsia"/>
                <w:color w:val="000000"/>
                <w:kern w:val="0"/>
                <w:szCs w:val="24"/>
              </w:rPr>
              <w:t>（万元）</w:t>
            </w:r>
          </w:p>
        </w:tc>
        <w:tc>
          <w:tcPr>
            <w:tcW w:w="3471" w:type="dxa"/>
            <w:tcBorders>
              <w:top w:val="nil"/>
              <w:left w:val="nil"/>
              <w:bottom w:val="single" w:sz="4" w:space="0" w:color="auto"/>
              <w:right w:val="single" w:sz="4" w:space="0" w:color="auto"/>
            </w:tcBorders>
          </w:tcPr>
          <w:p w:rsidR="00CA619C" w:rsidRDefault="00CA619C" w:rsidP="00CA619C">
            <w:pPr>
              <w:widowControl/>
              <w:ind w:hanging="1"/>
              <w:jc w:val="right"/>
              <w:rPr>
                <w:rFonts w:ascii="宋体" w:hAnsi="宋体" w:cs="Arial"/>
                <w:color w:val="000000"/>
                <w:kern w:val="0"/>
                <w:szCs w:val="24"/>
              </w:rPr>
            </w:pPr>
            <w:r>
              <w:rPr>
                <w:rFonts w:ascii="宋体" w:hAnsi="宋体" w:cs="Arial"/>
                <w:color w:val="000000"/>
                <w:kern w:val="0"/>
                <w:szCs w:val="24"/>
              </w:rPr>
              <w:t>299147.8</w:t>
            </w:r>
          </w:p>
        </w:tc>
      </w:tr>
      <w:tr w:rsidR="00CA619C" w:rsidTr="00CA619C">
        <w:trPr>
          <w:trHeight w:val="285"/>
        </w:trPr>
        <w:tc>
          <w:tcPr>
            <w:tcW w:w="5925" w:type="dxa"/>
            <w:tcBorders>
              <w:top w:val="nil"/>
              <w:left w:val="single" w:sz="4" w:space="0" w:color="auto"/>
              <w:bottom w:val="single" w:sz="4" w:space="0" w:color="auto"/>
              <w:right w:val="single" w:sz="4" w:space="0" w:color="auto"/>
            </w:tcBorders>
          </w:tcPr>
          <w:p w:rsidR="00CA619C" w:rsidRDefault="00CA619C" w:rsidP="00CA619C">
            <w:pPr>
              <w:widowControl/>
              <w:ind w:hanging="1"/>
              <w:rPr>
                <w:rFonts w:ascii="宋体" w:hAnsi="宋体" w:cs="宋体"/>
                <w:color w:val="000000"/>
                <w:kern w:val="0"/>
                <w:szCs w:val="24"/>
              </w:rPr>
            </w:pPr>
            <w:r>
              <w:rPr>
                <w:rFonts w:ascii="宋体" w:hAnsi="宋体" w:cs="宋体" w:hint="eastAsia"/>
                <w:color w:val="000000"/>
                <w:kern w:val="0"/>
                <w:szCs w:val="24"/>
              </w:rPr>
              <w:t xml:space="preserve">总计划投入（万元） </w:t>
            </w:r>
          </w:p>
        </w:tc>
        <w:tc>
          <w:tcPr>
            <w:tcW w:w="3471" w:type="dxa"/>
            <w:tcBorders>
              <w:top w:val="nil"/>
              <w:left w:val="nil"/>
              <w:bottom w:val="single" w:sz="4" w:space="0" w:color="auto"/>
              <w:right w:val="single" w:sz="4" w:space="0" w:color="auto"/>
            </w:tcBorders>
          </w:tcPr>
          <w:p w:rsidR="00CA619C" w:rsidRDefault="00CA619C" w:rsidP="00CA619C">
            <w:pPr>
              <w:widowControl/>
              <w:ind w:hanging="1"/>
              <w:jc w:val="right"/>
              <w:rPr>
                <w:rFonts w:ascii="宋体" w:hAnsi="宋体" w:cs="Arial"/>
                <w:color w:val="000000"/>
                <w:kern w:val="0"/>
                <w:szCs w:val="24"/>
              </w:rPr>
            </w:pPr>
            <w:r>
              <w:rPr>
                <w:rFonts w:ascii="宋体" w:hAnsi="宋体" w:cs="Arial"/>
                <w:color w:val="000000"/>
                <w:kern w:val="0"/>
                <w:szCs w:val="24"/>
              </w:rPr>
              <w:t>1277974</w:t>
            </w:r>
          </w:p>
        </w:tc>
      </w:tr>
    </w:tbl>
    <w:p w:rsidR="00CA619C" w:rsidRDefault="00CA619C" w:rsidP="00CA619C">
      <w:pPr>
        <w:pStyle w:val="a2"/>
        <w:ind w:left="840"/>
        <w:rPr>
          <w:rFonts w:hint="eastAsia"/>
        </w:rPr>
      </w:pPr>
      <w:r>
        <w:rPr>
          <w:rFonts w:hint="eastAsia"/>
        </w:rPr>
        <w:t>（资料来源：包书景，中国页岩气发展的机遇与挑战，</w:t>
      </w:r>
      <w:r>
        <w:rPr>
          <w:rFonts w:hint="eastAsia"/>
        </w:rPr>
        <w:t>2014</w:t>
      </w:r>
      <w:r>
        <w:rPr>
          <w:rFonts w:hint="eastAsia"/>
        </w:rPr>
        <w:t>年</w:t>
      </w:r>
      <w:r>
        <w:rPr>
          <w:rFonts w:hint="eastAsia"/>
        </w:rPr>
        <w:t>3</w:t>
      </w:r>
      <w:r>
        <w:rPr>
          <w:rFonts w:hint="eastAsia"/>
        </w:rPr>
        <w:t>月。）</w:t>
      </w:r>
    </w:p>
    <w:p w:rsidR="00CA619C" w:rsidRDefault="00CA619C" w:rsidP="00CA619C">
      <w:pPr>
        <w:pStyle w:val="Heading4"/>
        <w:rPr>
          <w:rFonts w:hint="eastAsia"/>
        </w:rPr>
      </w:pPr>
      <w:r>
        <w:rPr>
          <w:rFonts w:hint="eastAsia"/>
        </w:rPr>
        <w:t>中国页岩气技术水平</w:t>
      </w:r>
    </w:p>
    <w:p w:rsidR="00CA619C" w:rsidRDefault="00CA619C" w:rsidP="00CA619C">
      <w:pPr>
        <w:numPr>
          <w:ilvl w:val="0"/>
          <w:numId w:val="7"/>
        </w:numPr>
        <w:adjustRightInd w:val="0"/>
        <w:snapToGrid w:val="0"/>
        <w:spacing w:line="360" w:lineRule="auto"/>
        <w:jc w:val="left"/>
        <w:rPr>
          <w:rFonts w:hint="eastAsia"/>
          <w:b/>
        </w:rPr>
      </w:pPr>
      <w:r>
        <w:rPr>
          <w:rFonts w:hint="eastAsia"/>
          <w:b/>
        </w:rPr>
        <w:t>我国在页岩气开采技术及装备方面已经具备一定的基础</w:t>
      </w:r>
    </w:p>
    <w:p w:rsidR="00CA619C" w:rsidRDefault="00CA619C" w:rsidP="00CA619C">
      <w:pPr>
        <w:ind w:firstLine="480"/>
        <w:rPr>
          <w:rFonts w:ascii="宋体" w:hAnsi="宋体" w:hint="eastAsia"/>
        </w:rPr>
      </w:pPr>
      <w:r>
        <w:rPr>
          <w:rFonts w:ascii="宋体" w:hAnsi="宋体" w:hint="eastAsia"/>
        </w:rPr>
        <w:t>改革开放以来，我国油气装备制造业取得了快速发展，油气钻采装备不但满足了本国油气勘探开发的需要，而且还大量出口到美国、欧洲及中亚国家。</w:t>
      </w:r>
      <w:r>
        <w:rPr>
          <w:rFonts w:ascii="宋体" w:hAnsi="宋体" w:hint="eastAsia"/>
          <w:kern w:val="0"/>
        </w:rPr>
        <w:t>页岩气与常规油气开采所采用</w:t>
      </w:r>
      <w:r>
        <w:rPr>
          <w:rFonts w:ascii="宋体" w:hAnsi="宋体" w:hint="eastAsia"/>
        </w:rPr>
        <w:t>的装备与技术原理相近。页岩气规模化开发取决于水平钻井和水力压裂技术突破，目前这两种关键技术在我常规油气开发中均已广泛应用。中石化重庆涪陵页岩气田进入商业开发的事实证明，通过技术借鉴和经验积累，现有油气开发技术能力和经验完全可以应用到页岩气开发。国外著名油服公司都已进入中国市场并参与页岩气开发，他们均愿提供关键环节的国际先进技术支持，如导向钻探、随钻测井、数据分析等。他们在华承担的开采业务也主要由国内油服企业分包实施。此外，我们通过引进人才和鼓励海外华裔专家归国创业，也掌握不少配套技术，如压裂液配制等。</w:t>
      </w:r>
    </w:p>
    <w:p w:rsidR="00CA619C" w:rsidRDefault="00CA619C" w:rsidP="00CA619C">
      <w:pPr>
        <w:ind w:firstLine="480"/>
        <w:rPr>
          <w:rFonts w:ascii="宋体" w:hAnsi="宋体" w:hint="eastAsia"/>
        </w:rPr>
      </w:pPr>
      <w:r>
        <w:rPr>
          <w:rFonts w:ascii="宋体" w:hAnsi="宋体" w:hint="eastAsia"/>
        </w:rPr>
        <w:t>我国页岩气开采核心装备，如成套钻机、压裂车组、井下工具，以及配套工程服务都具有很强的能力，</w:t>
      </w:r>
      <w:r>
        <w:rPr>
          <w:rFonts w:hint="eastAsia"/>
        </w:rPr>
        <w:t>且国内多家制造企业的油气装备甚至远销海外用于常规和非常规油气的钻探开采，部分企业装备在国内首批页岩气试验井中亦得到成功应用。</w:t>
      </w:r>
      <w:r>
        <w:rPr>
          <w:rFonts w:ascii="宋体" w:hAnsi="宋体" w:hint="eastAsia"/>
          <w:kern w:val="0"/>
        </w:rPr>
        <w:t>国内</w:t>
      </w:r>
      <w:r>
        <w:rPr>
          <w:rFonts w:ascii="宋体" w:hAnsi="宋体" w:hint="eastAsia"/>
        </w:rPr>
        <w:t>在页岩气市场具有竞争力的油气设备制造企业有江汉四机厂、四川宏华石油设备公司、烟台杰瑞、宝鸡石油机械厂等，其中一些企业的部分设备及压裂车组已经成功应用到国内页岩气试验井与北美页岩气开发中。</w:t>
      </w:r>
      <w:r>
        <w:rPr>
          <w:rFonts w:hint="eastAsia"/>
        </w:rPr>
        <w:t>例如，四川宏华石油设备有限公司的钻机设备已批量出口美国用于页岩气开发，江汉油田四机厂的车载式全液压顶驱</w:t>
      </w:r>
      <w:r>
        <w:t>SJ5460T/ZJ10</w:t>
      </w:r>
      <w:r>
        <w:rPr>
          <w:rFonts w:hint="eastAsia"/>
        </w:rPr>
        <w:t>钻机已成功应用到中石油在四川页岩气试验勘探井中。</w:t>
      </w:r>
      <w:r>
        <w:rPr>
          <w:rFonts w:ascii="宋体" w:hAnsi="宋体" w:hint="eastAsia"/>
        </w:rPr>
        <w:t>足以见得我国页岩气装备已经行销全球，并在国内页岩气开发中做出了贡献。</w:t>
      </w:r>
    </w:p>
    <w:p w:rsidR="00CA619C" w:rsidRDefault="00CA619C" w:rsidP="00CA619C">
      <w:pPr>
        <w:numPr>
          <w:ilvl w:val="0"/>
          <w:numId w:val="7"/>
        </w:numPr>
        <w:adjustRightInd w:val="0"/>
        <w:snapToGrid w:val="0"/>
        <w:spacing w:line="360" w:lineRule="auto"/>
        <w:jc w:val="left"/>
        <w:rPr>
          <w:b/>
        </w:rPr>
      </w:pPr>
      <w:bookmarkStart w:id="60" w:name="_Toc306091784"/>
      <w:bookmarkStart w:id="61" w:name="_Toc325371808"/>
      <w:bookmarkStart w:id="62" w:name="_Toc335656416"/>
      <w:bookmarkStart w:id="63" w:name="_Toc336506835"/>
      <w:bookmarkStart w:id="64" w:name="_Toc337566601"/>
      <w:bookmarkStart w:id="65" w:name="_Toc353544113"/>
      <w:bookmarkStart w:id="66" w:name="_Toc362874648"/>
      <w:bookmarkStart w:id="67" w:name="_Toc370147743"/>
      <w:bookmarkStart w:id="68" w:name="_Toc381778736"/>
      <w:bookmarkStart w:id="69" w:name="_Toc382781706"/>
      <w:bookmarkStart w:id="70" w:name="_Toc383414332"/>
      <w:r>
        <w:rPr>
          <w:rFonts w:hint="eastAsia"/>
          <w:b/>
        </w:rPr>
        <w:t>国内拥有一批有资质及经验的油田技术服务企业</w:t>
      </w:r>
      <w:bookmarkEnd w:id="60"/>
      <w:bookmarkEnd w:id="61"/>
      <w:bookmarkEnd w:id="62"/>
      <w:bookmarkEnd w:id="63"/>
      <w:bookmarkEnd w:id="64"/>
      <w:bookmarkEnd w:id="65"/>
      <w:bookmarkEnd w:id="66"/>
      <w:bookmarkEnd w:id="67"/>
      <w:bookmarkEnd w:id="68"/>
      <w:bookmarkEnd w:id="69"/>
      <w:bookmarkEnd w:id="70"/>
    </w:p>
    <w:p w:rsidR="00CA619C" w:rsidRDefault="00CA619C" w:rsidP="00CA619C">
      <w:pPr>
        <w:ind w:firstLine="480"/>
        <w:rPr>
          <w:rFonts w:ascii="宋体" w:hAnsi="宋体" w:hint="eastAsia"/>
        </w:rPr>
      </w:pPr>
      <w:r>
        <w:rPr>
          <w:rFonts w:ascii="宋体" w:hAnsi="宋体" w:hint="eastAsia"/>
        </w:rPr>
        <w:t>目前，我国常规油气资源矿业权基本上为国有石油公司所有，中国页岩气资源条件较好的区块也大都与几大国有石油公司已登记的常规油气区块重叠，因此，现阶段国有石油公司是页岩气勘探开发的主力。这些拥有多年勘探开发资质的企业如中石油、中石化、中海油、延长石油等，既具备强大的经济实力，同时在技术研发、设备制造、技术服务等多环节积累了相当丰富的运营与管理经验，具备通过国外技术转让、技术合作等方式迅速实现页岩气勘探开发突破的实力和基础。事实上，目前取得进展的勘探试验井也多为几大国有公司所投入或主导。</w:t>
      </w:r>
    </w:p>
    <w:p w:rsidR="00CA619C" w:rsidRDefault="00CA619C" w:rsidP="00CA619C">
      <w:pPr>
        <w:ind w:firstLine="480"/>
        <w:rPr>
          <w:rFonts w:ascii="宋体"/>
        </w:rPr>
      </w:pPr>
      <w:r>
        <w:rPr>
          <w:rFonts w:ascii="宋体" w:hint="eastAsia"/>
        </w:rPr>
        <w:t>例如，在开发试验与工程技术方面，中石化已经形成了优快钻井技术系列，积极探索实施了井工厂化作业模式，水平井分段压裂技术逐渐配套，设备、技术能力能够满足页岩气开发要求，目前试验井最大水平段长2100米，最大压裂段数26段。同时，中石化还在装备和配套工具的国产化方面，于2013年3月成功研制出3000型压裂车，代表了世界压裂装备技术的最高水平，目前已有4台投入现场应用。此外，中石化研发的裸眼封隔器、桥塞等井下压裂工具也达到国际先进水平，实现工业化批量生产并出口北美市场，使国际同类设备价格降低了50%以上。</w:t>
      </w:r>
    </w:p>
    <w:p w:rsidR="00CA619C" w:rsidRDefault="00CA619C" w:rsidP="00CA619C">
      <w:pPr>
        <w:numPr>
          <w:ilvl w:val="0"/>
          <w:numId w:val="7"/>
        </w:numPr>
        <w:adjustRightInd w:val="0"/>
        <w:snapToGrid w:val="0"/>
        <w:spacing w:line="360" w:lineRule="auto"/>
        <w:jc w:val="left"/>
        <w:rPr>
          <w:rFonts w:hint="eastAsia"/>
          <w:b/>
        </w:rPr>
      </w:pPr>
      <w:r>
        <w:rPr>
          <w:rFonts w:hint="eastAsia"/>
          <w:b/>
        </w:rPr>
        <w:t>部分成套技术尚不成熟，核心技术引进尚需“本地化”</w:t>
      </w:r>
    </w:p>
    <w:p w:rsidR="00CA619C" w:rsidRDefault="00CA619C" w:rsidP="00CA619C">
      <w:pPr>
        <w:ind w:firstLine="480"/>
        <w:rPr>
          <w:rFonts w:ascii="宋体" w:hAnsi="宋体" w:hint="eastAsia"/>
        </w:rPr>
      </w:pPr>
      <w:r>
        <w:rPr>
          <w:rFonts w:ascii="宋体" w:hAnsi="宋体" w:hint="eastAsia"/>
        </w:rPr>
        <w:t>我国在页岩气勘探开发技术装备方面虽具有一定基础，但尚未形成页岩气开发的系统性配套技术。尤其是针对不同地质条件且有良好经济效益的页岩气区块开发的水平井钻井、完井、测试、分段压裂改造，以及压裂液配方等关键技术还需进一步攻关和完善。</w:t>
      </w:r>
    </w:p>
    <w:p w:rsidR="00CA619C" w:rsidRDefault="00CA619C" w:rsidP="00CA619C">
      <w:pPr>
        <w:ind w:firstLine="480"/>
        <w:rPr>
          <w:rFonts w:ascii="宋体" w:hAnsi="宋体" w:hint="eastAsia"/>
        </w:rPr>
      </w:pPr>
      <w:r>
        <w:rPr>
          <w:rFonts w:ascii="宋体" w:hAnsi="宋体" w:hint="eastAsia"/>
        </w:rPr>
        <w:t>我国在传统油气领域勘探开发的现有技术水平虽可作为页岩气开发的借鉴，但尚难以完全满足国内页岩气勘探开发的要求，如系统的勘探开发参数测试的实验技术和仪器装备尚不完备；部分核心技术亟需进行重大科技攻关和试验或通过国际合作和自主创新实现突破；我国在旋转导向技术，随钻测井技术，压裂隔离部件等井下技术工艺及设备方面尚存在薄弱环节或缺失，亟需不断提升与完善；特别是页岩气勘探开采过程中涉及到的模拟软件、分析软件、监测工具等软科学类技术还需研发和配套。</w:t>
      </w:r>
    </w:p>
    <w:p w:rsidR="00CA619C" w:rsidRDefault="00CA619C" w:rsidP="00CA619C">
      <w:pPr>
        <w:ind w:firstLine="480"/>
        <w:rPr>
          <w:rFonts w:ascii="宋体" w:hAnsi="宋体" w:hint="eastAsia"/>
        </w:rPr>
      </w:pPr>
      <w:r>
        <w:rPr>
          <w:rFonts w:ascii="宋体" w:hAnsi="宋体" w:hint="eastAsia"/>
        </w:rPr>
        <w:t>同时，由于我国缺乏对页岩气资源勘查、评价、开发及生产等一系列作业活动的深入分析和研究，对如何将现有传统油气领域的水平井及压裂技术有针对性地应用于不同页岩气区块的经验尚不足，也需尽快组织开展大量的研究、测试以及实践工作，才可以为“页岩气”所用。</w:t>
      </w:r>
    </w:p>
    <w:p w:rsidR="00CA619C" w:rsidRDefault="00CA619C" w:rsidP="00CA619C">
      <w:pPr>
        <w:ind w:firstLine="480"/>
        <w:rPr>
          <w:rFonts w:ascii="宋体" w:hAnsi="宋体" w:hint="eastAsia"/>
        </w:rPr>
      </w:pPr>
      <w:r>
        <w:rPr>
          <w:rFonts w:ascii="宋体" w:hAnsi="宋体" w:hint="eastAsia"/>
        </w:rPr>
        <w:t>此外，由于我国与美国地质情况不同，我国的地质情况是海相、湖相、以及海陆交互相均有大量页岩气赋存，且页岩气普遍埋藏较深，地质条件复杂，后期破坏严重，开发难度较大，所以美国页岩气开发的成功技术并不能完全照搬到国内，引进技术也将不可避免地存在美国成功技术在国内地质条件下的“本土化”适应问题，需要在勘探开发实践中探索、总结。</w:t>
      </w:r>
    </w:p>
    <w:p w:rsidR="00CA619C" w:rsidRDefault="00CA619C" w:rsidP="00CA619C">
      <w:pPr>
        <w:pStyle w:val="a"/>
      </w:pPr>
      <w:bookmarkStart w:id="71" w:name="_Toc31177"/>
      <w:bookmarkStart w:id="72" w:name="_Toc58"/>
      <w:r>
        <w:rPr>
          <w:rFonts w:hint="eastAsia"/>
        </w:rPr>
        <w:br w:type="page"/>
      </w:r>
      <w:bookmarkStart w:id="73" w:name="_Toc392853324"/>
      <w:r>
        <w:rPr>
          <w:rFonts w:hint="eastAsia"/>
        </w:rPr>
        <w:t>页岩气勘探开发主要环节关键技术与设备厂商一览</w:t>
      </w:r>
      <w:bookmarkEnd w:id="71"/>
      <w:bookmarkEnd w:id="72"/>
      <w:bookmarkEnd w:id="73"/>
    </w:p>
    <w:tbl>
      <w:tblPr>
        <w:tblW w:w="0" w:type="auto"/>
        <w:jc w:val="center"/>
        <w:tblLayout w:type="fixed"/>
        <w:tblLook w:val="0000" w:firstRow="0" w:lastRow="0" w:firstColumn="0" w:lastColumn="0" w:noHBand="0" w:noVBand="0"/>
      </w:tblPr>
      <w:tblGrid>
        <w:gridCol w:w="1320"/>
        <w:gridCol w:w="1455"/>
        <w:gridCol w:w="3648"/>
        <w:gridCol w:w="3125"/>
      </w:tblGrid>
      <w:tr w:rsidR="00CA619C" w:rsidTr="00CA619C">
        <w:trPr>
          <w:trHeight w:val="240"/>
          <w:jc w:val="center"/>
        </w:trPr>
        <w:tc>
          <w:tcPr>
            <w:tcW w:w="1320" w:type="dxa"/>
            <w:tcBorders>
              <w:top w:val="single" w:sz="4" w:space="0" w:color="auto"/>
              <w:left w:val="single" w:sz="4" w:space="0" w:color="auto"/>
              <w:bottom w:val="single" w:sz="4" w:space="0" w:color="auto"/>
              <w:right w:val="single" w:sz="4" w:space="0" w:color="auto"/>
            </w:tcBorders>
            <w:vAlign w:val="center"/>
          </w:tcPr>
          <w:p w:rsidR="00CA619C" w:rsidRDefault="00CA619C" w:rsidP="00CA619C">
            <w:pPr>
              <w:widowControl/>
              <w:jc w:val="left"/>
              <w:rPr>
                <w:rFonts w:ascii="宋体" w:hAnsi="宋体" w:cs="Arial"/>
                <w:b/>
                <w:bCs/>
                <w:kern w:val="0"/>
              </w:rPr>
            </w:pPr>
            <w:r>
              <w:rPr>
                <w:rFonts w:ascii="宋体" w:hAnsi="宋体" w:cs="Arial"/>
                <w:b/>
                <w:bCs/>
                <w:kern w:val="0"/>
              </w:rPr>
              <w:t>环节</w:t>
            </w:r>
            <w:r>
              <w:rPr>
                <w:rFonts w:ascii="宋体" w:hAnsi="宋体" w:cs="Arial" w:hint="eastAsia"/>
                <w:b/>
                <w:bCs/>
                <w:kern w:val="0"/>
              </w:rPr>
              <w:t xml:space="preserve"> </w:t>
            </w:r>
          </w:p>
        </w:tc>
        <w:tc>
          <w:tcPr>
            <w:tcW w:w="1455" w:type="dxa"/>
            <w:tcBorders>
              <w:top w:val="single" w:sz="4" w:space="0" w:color="auto"/>
              <w:left w:val="nil"/>
              <w:bottom w:val="single" w:sz="4" w:space="0" w:color="auto"/>
              <w:right w:val="single" w:sz="4" w:space="0" w:color="auto"/>
            </w:tcBorders>
            <w:vAlign w:val="center"/>
          </w:tcPr>
          <w:p w:rsidR="00CA619C" w:rsidRDefault="00CA619C" w:rsidP="00CA619C">
            <w:pPr>
              <w:widowControl/>
              <w:jc w:val="left"/>
              <w:rPr>
                <w:rFonts w:ascii="宋体" w:hAnsi="宋体" w:cs="Arial"/>
                <w:b/>
                <w:bCs/>
                <w:kern w:val="0"/>
                <w:szCs w:val="21"/>
              </w:rPr>
            </w:pPr>
            <w:r>
              <w:rPr>
                <w:rFonts w:ascii="宋体" w:hAnsi="宋体" w:cs="Arial" w:hint="eastAsia"/>
                <w:b/>
                <w:bCs/>
                <w:kern w:val="0"/>
                <w:szCs w:val="21"/>
              </w:rPr>
              <w:t>关键技术</w:t>
            </w:r>
          </w:p>
        </w:tc>
        <w:tc>
          <w:tcPr>
            <w:tcW w:w="3648" w:type="dxa"/>
            <w:tcBorders>
              <w:top w:val="single" w:sz="4" w:space="0" w:color="auto"/>
              <w:left w:val="nil"/>
              <w:bottom w:val="single" w:sz="4" w:space="0" w:color="auto"/>
              <w:right w:val="single" w:sz="4" w:space="0" w:color="auto"/>
            </w:tcBorders>
            <w:vAlign w:val="center"/>
          </w:tcPr>
          <w:p w:rsidR="00CA619C" w:rsidRDefault="00CA619C" w:rsidP="00CA619C">
            <w:pPr>
              <w:widowControl/>
              <w:jc w:val="left"/>
              <w:rPr>
                <w:rFonts w:ascii="宋体" w:hAnsi="宋体" w:cs="Arial"/>
                <w:b/>
                <w:bCs/>
                <w:kern w:val="0"/>
                <w:szCs w:val="21"/>
              </w:rPr>
            </w:pPr>
            <w:r>
              <w:rPr>
                <w:rFonts w:ascii="宋体" w:hAnsi="宋体" w:cs="Arial" w:hint="eastAsia"/>
                <w:b/>
                <w:bCs/>
                <w:kern w:val="0"/>
                <w:szCs w:val="21"/>
              </w:rPr>
              <w:t>关键技术介绍</w:t>
            </w:r>
          </w:p>
        </w:tc>
        <w:tc>
          <w:tcPr>
            <w:tcW w:w="3125" w:type="dxa"/>
            <w:tcBorders>
              <w:top w:val="single" w:sz="4" w:space="0" w:color="auto"/>
              <w:left w:val="nil"/>
              <w:bottom w:val="single" w:sz="4" w:space="0" w:color="auto"/>
              <w:right w:val="single" w:sz="4" w:space="0" w:color="auto"/>
            </w:tcBorders>
            <w:vAlign w:val="center"/>
          </w:tcPr>
          <w:p w:rsidR="00CA619C" w:rsidRDefault="00CA619C" w:rsidP="00CA619C">
            <w:pPr>
              <w:widowControl/>
              <w:jc w:val="left"/>
              <w:rPr>
                <w:rFonts w:ascii="宋体" w:hAnsi="宋体" w:cs="Arial"/>
                <w:b/>
                <w:bCs/>
                <w:kern w:val="0"/>
                <w:szCs w:val="21"/>
              </w:rPr>
            </w:pPr>
            <w:r>
              <w:rPr>
                <w:rFonts w:ascii="宋体" w:hAnsi="宋体" w:cs="Arial" w:hint="eastAsia"/>
                <w:b/>
                <w:bCs/>
                <w:kern w:val="0"/>
                <w:szCs w:val="21"/>
              </w:rPr>
              <w:t>关键设备厂商</w:t>
            </w:r>
          </w:p>
        </w:tc>
      </w:tr>
      <w:tr w:rsidR="00CA619C" w:rsidTr="00CA619C">
        <w:trPr>
          <w:trHeight w:val="1091"/>
          <w:jc w:val="center"/>
        </w:trPr>
        <w:tc>
          <w:tcPr>
            <w:tcW w:w="1320" w:type="dxa"/>
            <w:tcBorders>
              <w:top w:val="nil"/>
              <w:left w:val="single" w:sz="4" w:space="0" w:color="auto"/>
              <w:bottom w:val="single" w:sz="4" w:space="0" w:color="auto"/>
              <w:right w:val="single" w:sz="4" w:space="0" w:color="auto"/>
            </w:tcBorders>
            <w:vAlign w:val="center"/>
          </w:tcPr>
          <w:p w:rsidR="00CA619C" w:rsidRDefault="00CA619C" w:rsidP="00CA619C">
            <w:pPr>
              <w:widowControl/>
              <w:jc w:val="left"/>
              <w:rPr>
                <w:rFonts w:ascii="宋体" w:hAnsi="宋体" w:cs="Arial"/>
                <w:b/>
                <w:bCs/>
                <w:kern w:val="0"/>
              </w:rPr>
            </w:pPr>
            <w:r>
              <w:rPr>
                <w:rFonts w:ascii="宋体" w:hAnsi="宋体" w:cs="Arial"/>
                <w:b/>
                <w:bCs/>
                <w:kern w:val="0"/>
              </w:rPr>
              <w:t>勘探</w:t>
            </w:r>
            <w:r>
              <w:rPr>
                <w:rFonts w:ascii="宋体" w:hAnsi="宋体" w:cs="Arial" w:hint="eastAsia"/>
                <w:b/>
                <w:bCs/>
                <w:kern w:val="0"/>
              </w:rPr>
              <w:t xml:space="preserve"> </w:t>
            </w:r>
          </w:p>
        </w:tc>
        <w:tc>
          <w:tcPr>
            <w:tcW w:w="1455" w:type="dxa"/>
            <w:tcBorders>
              <w:top w:val="nil"/>
              <w:left w:val="nil"/>
              <w:bottom w:val="single" w:sz="4" w:space="0" w:color="auto"/>
              <w:right w:val="single" w:sz="4" w:space="0" w:color="auto"/>
            </w:tcBorders>
            <w:vAlign w:val="center"/>
          </w:tcPr>
          <w:p w:rsidR="00CA619C" w:rsidRDefault="00CA619C" w:rsidP="00CA619C">
            <w:pPr>
              <w:widowControl/>
              <w:jc w:val="left"/>
              <w:rPr>
                <w:rFonts w:ascii="宋体" w:hAnsi="宋体" w:cs="Arial"/>
                <w:b/>
                <w:bCs/>
                <w:kern w:val="0"/>
                <w:szCs w:val="21"/>
              </w:rPr>
            </w:pPr>
            <w:r>
              <w:rPr>
                <w:rFonts w:ascii="宋体" w:hAnsi="宋体" w:cs="Arial" w:hint="eastAsia"/>
                <w:b/>
                <w:bCs/>
                <w:kern w:val="0"/>
                <w:szCs w:val="21"/>
              </w:rPr>
              <w:t>微地震监测技术</w:t>
            </w:r>
          </w:p>
        </w:tc>
        <w:tc>
          <w:tcPr>
            <w:tcW w:w="3648" w:type="dxa"/>
            <w:tcBorders>
              <w:top w:val="nil"/>
              <w:left w:val="nil"/>
              <w:bottom w:val="single" w:sz="4" w:space="0" w:color="auto"/>
              <w:right w:val="single" w:sz="4" w:space="0" w:color="auto"/>
            </w:tcBorders>
            <w:vAlign w:val="center"/>
          </w:tcPr>
          <w:p w:rsidR="00CA619C" w:rsidRDefault="00CA619C" w:rsidP="00CA619C">
            <w:pPr>
              <w:widowControl/>
              <w:jc w:val="left"/>
              <w:rPr>
                <w:rFonts w:ascii="宋体" w:hAnsi="宋体" w:cs="Arial"/>
                <w:kern w:val="0"/>
                <w:szCs w:val="21"/>
              </w:rPr>
            </w:pPr>
            <w:r>
              <w:rPr>
                <w:rFonts w:ascii="宋体" w:hAnsi="宋体" w:cs="Arial" w:hint="eastAsia"/>
                <w:kern w:val="0"/>
                <w:szCs w:val="21"/>
              </w:rPr>
              <w:t>微地震监测技术在油气藏勘探开发方面的主要应用包括储层压裂监测、油藏动态监测等，可缩短和降低储层监测的周期与费用</w:t>
            </w:r>
          </w:p>
        </w:tc>
        <w:tc>
          <w:tcPr>
            <w:tcW w:w="3125" w:type="dxa"/>
            <w:tcBorders>
              <w:top w:val="nil"/>
              <w:left w:val="nil"/>
              <w:bottom w:val="single" w:sz="4" w:space="0" w:color="auto"/>
              <w:right w:val="single" w:sz="4" w:space="0" w:color="auto"/>
            </w:tcBorders>
            <w:vAlign w:val="center"/>
          </w:tcPr>
          <w:p w:rsidR="00CA619C" w:rsidRDefault="00CA619C" w:rsidP="00CA619C">
            <w:pPr>
              <w:widowControl/>
              <w:jc w:val="left"/>
              <w:rPr>
                <w:rFonts w:ascii="宋体" w:hAnsi="宋体" w:cs="Arial"/>
                <w:b/>
                <w:bCs/>
                <w:kern w:val="0"/>
                <w:szCs w:val="21"/>
              </w:rPr>
            </w:pPr>
            <w:r>
              <w:rPr>
                <w:rFonts w:ascii="宋体" w:hAnsi="宋体" w:cs="Arial" w:hint="eastAsia"/>
                <w:kern w:val="0"/>
                <w:szCs w:val="21"/>
              </w:rPr>
              <w:t>我国尚待从设备和工艺两方面大力推进</w:t>
            </w:r>
          </w:p>
        </w:tc>
      </w:tr>
      <w:tr w:rsidR="00CA619C" w:rsidTr="00CA619C">
        <w:trPr>
          <w:trHeight w:val="705"/>
          <w:jc w:val="center"/>
        </w:trPr>
        <w:tc>
          <w:tcPr>
            <w:tcW w:w="1320" w:type="dxa"/>
            <w:vMerge w:val="restart"/>
            <w:tcBorders>
              <w:top w:val="nil"/>
              <w:left w:val="single" w:sz="4" w:space="0" w:color="auto"/>
              <w:bottom w:val="single" w:sz="4" w:space="0" w:color="auto"/>
              <w:right w:val="single" w:sz="4" w:space="0" w:color="auto"/>
            </w:tcBorders>
            <w:vAlign w:val="center"/>
          </w:tcPr>
          <w:p w:rsidR="00CA619C" w:rsidRDefault="00CA619C" w:rsidP="00CA619C">
            <w:pPr>
              <w:widowControl/>
              <w:jc w:val="left"/>
              <w:rPr>
                <w:rFonts w:ascii="宋体" w:hAnsi="宋体" w:cs="Arial"/>
                <w:b/>
                <w:bCs/>
                <w:kern w:val="0"/>
              </w:rPr>
            </w:pPr>
            <w:r>
              <w:rPr>
                <w:rFonts w:ascii="宋体" w:hAnsi="宋体" w:cs="Arial"/>
                <w:b/>
                <w:bCs/>
                <w:kern w:val="0"/>
              </w:rPr>
              <w:t>钻井测井</w:t>
            </w:r>
            <w:r>
              <w:rPr>
                <w:rFonts w:ascii="宋体" w:hAnsi="宋体" w:cs="Arial" w:hint="eastAsia"/>
                <w:b/>
                <w:bCs/>
                <w:kern w:val="0"/>
              </w:rPr>
              <w:t xml:space="preserve"> </w:t>
            </w:r>
          </w:p>
        </w:tc>
        <w:tc>
          <w:tcPr>
            <w:tcW w:w="1455" w:type="dxa"/>
            <w:tcBorders>
              <w:top w:val="nil"/>
              <w:left w:val="nil"/>
              <w:bottom w:val="single" w:sz="4" w:space="0" w:color="auto"/>
              <w:right w:val="single" w:sz="4" w:space="0" w:color="auto"/>
            </w:tcBorders>
            <w:vAlign w:val="center"/>
          </w:tcPr>
          <w:p w:rsidR="00CA619C" w:rsidRDefault="00CA619C" w:rsidP="00CA619C">
            <w:pPr>
              <w:widowControl/>
              <w:jc w:val="left"/>
              <w:rPr>
                <w:rFonts w:ascii="宋体" w:hAnsi="宋体" w:cs="Arial"/>
                <w:b/>
                <w:bCs/>
                <w:kern w:val="0"/>
                <w:szCs w:val="21"/>
              </w:rPr>
            </w:pPr>
            <w:r>
              <w:rPr>
                <w:rFonts w:ascii="宋体" w:hAnsi="宋体" w:cs="Arial" w:hint="eastAsia"/>
                <w:b/>
                <w:bCs/>
                <w:kern w:val="0"/>
                <w:szCs w:val="21"/>
              </w:rPr>
              <w:t>水平钻井</w:t>
            </w:r>
          </w:p>
        </w:tc>
        <w:tc>
          <w:tcPr>
            <w:tcW w:w="3648" w:type="dxa"/>
            <w:tcBorders>
              <w:top w:val="nil"/>
              <w:left w:val="nil"/>
              <w:bottom w:val="single" w:sz="4" w:space="0" w:color="auto"/>
              <w:right w:val="single" w:sz="4" w:space="0" w:color="auto"/>
            </w:tcBorders>
            <w:vAlign w:val="center"/>
          </w:tcPr>
          <w:p w:rsidR="00CA619C" w:rsidRDefault="00CA619C" w:rsidP="00CA619C">
            <w:pPr>
              <w:widowControl/>
              <w:jc w:val="left"/>
              <w:rPr>
                <w:rFonts w:ascii="宋体" w:hAnsi="宋体" w:cs="Arial"/>
                <w:kern w:val="0"/>
                <w:szCs w:val="21"/>
              </w:rPr>
            </w:pPr>
            <w:r>
              <w:rPr>
                <w:rFonts w:ascii="宋体" w:hAnsi="宋体" w:cs="Arial" w:hint="eastAsia"/>
                <w:kern w:val="0"/>
                <w:szCs w:val="21"/>
              </w:rPr>
              <w:t>通过该技术，可以获得更大储集层段面积，提高单井产量</w:t>
            </w:r>
          </w:p>
        </w:tc>
        <w:tc>
          <w:tcPr>
            <w:tcW w:w="3125" w:type="dxa"/>
            <w:vMerge w:val="restart"/>
            <w:tcBorders>
              <w:top w:val="nil"/>
              <w:left w:val="single" w:sz="4" w:space="0" w:color="auto"/>
              <w:bottom w:val="single" w:sz="4" w:space="0" w:color="auto"/>
              <w:right w:val="single" w:sz="4" w:space="0" w:color="auto"/>
            </w:tcBorders>
            <w:vAlign w:val="center"/>
          </w:tcPr>
          <w:p w:rsidR="00CA619C" w:rsidRDefault="00CA619C" w:rsidP="00CA619C">
            <w:pPr>
              <w:widowControl/>
              <w:jc w:val="left"/>
              <w:rPr>
                <w:rFonts w:ascii="宋体" w:hAnsi="宋体" w:cs="Arial" w:hint="eastAsia"/>
                <w:kern w:val="0"/>
                <w:szCs w:val="21"/>
              </w:rPr>
            </w:pPr>
            <w:r>
              <w:rPr>
                <w:rFonts w:ascii="宋体" w:hAnsi="宋体" w:cs="Arial" w:hint="eastAsia"/>
                <w:b/>
                <w:bCs/>
                <w:kern w:val="0"/>
                <w:szCs w:val="21"/>
              </w:rPr>
              <w:t>钻机及</w:t>
            </w:r>
            <w:r>
              <w:rPr>
                <w:rFonts w:ascii="宋体" w:hAnsi="宋体" w:cs="Arial"/>
                <w:b/>
                <w:bCs/>
                <w:kern w:val="0"/>
                <w:szCs w:val="21"/>
              </w:rPr>
              <w:t>PDC</w:t>
            </w:r>
            <w:r>
              <w:rPr>
                <w:rFonts w:ascii="宋体" w:hAnsi="宋体" w:cs="Arial" w:hint="eastAsia"/>
                <w:b/>
                <w:bCs/>
                <w:kern w:val="0"/>
                <w:szCs w:val="21"/>
              </w:rPr>
              <w:t>钻头：</w:t>
            </w:r>
            <w:r>
              <w:rPr>
                <w:rFonts w:ascii="宋体" w:hAnsi="宋体" w:cs="Arial" w:hint="eastAsia"/>
                <w:kern w:val="0"/>
                <w:szCs w:val="21"/>
              </w:rPr>
              <w:t>宝鸡石油机械、宏华集团、南阳石油机械；</w:t>
            </w:r>
          </w:p>
          <w:p w:rsidR="00CA619C" w:rsidRDefault="00CA619C" w:rsidP="00CA619C">
            <w:pPr>
              <w:widowControl/>
              <w:jc w:val="left"/>
              <w:rPr>
                <w:rFonts w:ascii="宋体" w:hAnsi="宋体" w:cs="Arial"/>
                <w:b/>
                <w:bCs/>
                <w:kern w:val="0"/>
                <w:szCs w:val="21"/>
              </w:rPr>
            </w:pPr>
            <w:r>
              <w:rPr>
                <w:rFonts w:ascii="宋体" w:hAnsi="宋体" w:cs="Arial" w:hint="eastAsia"/>
                <w:kern w:val="0"/>
                <w:szCs w:val="21"/>
              </w:rPr>
              <w:t>顶部驱动钻井系统：北京石油机械厂、辽宁天意实业公司、天津瑞灵石油设备公司</w:t>
            </w:r>
          </w:p>
        </w:tc>
      </w:tr>
      <w:tr w:rsidR="00CA619C" w:rsidTr="00CA619C">
        <w:trPr>
          <w:trHeight w:val="812"/>
          <w:jc w:val="center"/>
        </w:trPr>
        <w:tc>
          <w:tcPr>
            <w:tcW w:w="1320" w:type="dxa"/>
            <w:vMerge/>
            <w:tcBorders>
              <w:top w:val="nil"/>
              <w:left w:val="single" w:sz="4" w:space="0" w:color="auto"/>
              <w:bottom w:val="single" w:sz="4" w:space="0" w:color="auto"/>
              <w:right w:val="single" w:sz="4" w:space="0" w:color="auto"/>
            </w:tcBorders>
            <w:vAlign w:val="center"/>
          </w:tcPr>
          <w:p w:rsidR="00CA619C" w:rsidRDefault="00CA619C" w:rsidP="00CA619C">
            <w:pPr>
              <w:widowControl/>
              <w:jc w:val="left"/>
              <w:rPr>
                <w:rFonts w:ascii="宋体" w:hAnsi="宋体" w:cs="Arial"/>
                <w:b/>
                <w:bCs/>
                <w:kern w:val="0"/>
              </w:rPr>
            </w:pPr>
          </w:p>
        </w:tc>
        <w:tc>
          <w:tcPr>
            <w:tcW w:w="1455" w:type="dxa"/>
            <w:tcBorders>
              <w:top w:val="nil"/>
              <w:left w:val="nil"/>
              <w:bottom w:val="single" w:sz="4" w:space="0" w:color="auto"/>
              <w:right w:val="single" w:sz="4" w:space="0" w:color="auto"/>
            </w:tcBorders>
            <w:vAlign w:val="center"/>
          </w:tcPr>
          <w:p w:rsidR="00CA619C" w:rsidRDefault="00CA619C" w:rsidP="00CA619C">
            <w:pPr>
              <w:widowControl/>
              <w:jc w:val="left"/>
              <w:rPr>
                <w:rFonts w:ascii="宋体" w:hAnsi="宋体" w:cs="Arial"/>
                <w:b/>
                <w:bCs/>
                <w:kern w:val="0"/>
                <w:szCs w:val="21"/>
              </w:rPr>
            </w:pPr>
            <w:r>
              <w:rPr>
                <w:rFonts w:ascii="宋体" w:hAnsi="宋体" w:cs="Arial" w:hint="eastAsia"/>
                <w:b/>
                <w:bCs/>
                <w:kern w:val="0"/>
                <w:szCs w:val="21"/>
              </w:rPr>
              <w:t>随钻测井</w:t>
            </w:r>
          </w:p>
        </w:tc>
        <w:tc>
          <w:tcPr>
            <w:tcW w:w="3648" w:type="dxa"/>
            <w:tcBorders>
              <w:top w:val="nil"/>
              <w:left w:val="nil"/>
              <w:bottom w:val="single" w:sz="4" w:space="0" w:color="auto"/>
              <w:right w:val="single" w:sz="4" w:space="0" w:color="auto"/>
            </w:tcBorders>
            <w:vAlign w:val="center"/>
          </w:tcPr>
          <w:p w:rsidR="00CA619C" w:rsidRDefault="00CA619C" w:rsidP="00CA619C">
            <w:pPr>
              <w:widowControl/>
              <w:jc w:val="left"/>
              <w:rPr>
                <w:rFonts w:ascii="宋体" w:hAnsi="宋体" w:cs="Arial"/>
                <w:kern w:val="0"/>
                <w:szCs w:val="21"/>
              </w:rPr>
            </w:pPr>
            <w:r>
              <w:rPr>
                <w:rFonts w:ascii="宋体" w:hAnsi="宋体" w:cs="Arial" w:hint="eastAsia"/>
                <w:kern w:val="0"/>
                <w:szCs w:val="21"/>
              </w:rPr>
              <w:t>在油气田勘探、开发过程中，钻井之后必须进行测井，以便了解地层的特性和含油气情况</w:t>
            </w:r>
          </w:p>
        </w:tc>
        <w:tc>
          <w:tcPr>
            <w:tcW w:w="3125" w:type="dxa"/>
            <w:vMerge/>
            <w:tcBorders>
              <w:top w:val="nil"/>
              <w:left w:val="single" w:sz="4" w:space="0" w:color="auto"/>
              <w:bottom w:val="single" w:sz="4" w:space="0" w:color="auto"/>
              <w:right w:val="single" w:sz="4" w:space="0" w:color="auto"/>
            </w:tcBorders>
            <w:vAlign w:val="center"/>
          </w:tcPr>
          <w:p w:rsidR="00CA619C" w:rsidRDefault="00CA619C" w:rsidP="00CA619C">
            <w:pPr>
              <w:widowControl/>
              <w:jc w:val="left"/>
              <w:rPr>
                <w:rFonts w:ascii="宋体" w:hAnsi="宋体" w:cs="Arial"/>
                <w:b/>
                <w:bCs/>
                <w:kern w:val="0"/>
                <w:szCs w:val="21"/>
              </w:rPr>
            </w:pPr>
          </w:p>
        </w:tc>
      </w:tr>
      <w:tr w:rsidR="00CA619C" w:rsidTr="00CA619C">
        <w:trPr>
          <w:trHeight w:val="786"/>
          <w:jc w:val="center"/>
        </w:trPr>
        <w:tc>
          <w:tcPr>
            <w:tcW w:w="1320" w:type="dxa"/>
            <w:vMerge/>
            <w:tcBorders>
              <w:top w:val="nil"/>
              <w:left w:val="single" w:sz="4" w:space="0" w:color="auto"/>
              <w:bottom w:val="single" w:sz="4" w:space="0" w:color="auto"/>
              <w:right w:val="single" w:sz="4" w:space="0" w:color="auto"/>
            </w:tcBorders>
            <w:vAlign w:val="center"/>
          </w:tcPr>
          <w:p w:rsidR="00CA619C" w:rsidRDefault="00CA619C" w:rsidP="00CA619C">
            <w:pPr>
              <w:widowControl/>
              <w:jc w:val="left"/>
              <w:rPr>
                <w:rFonts w:ascii="宋体" w:hAnsi="宋体" w:cs="Arial"/>
                <w:b/>
                <w:bCs/>
                <w:kern w:val="0"/>
              </w:rPr>
            </w:pPr>
          </w:p>
        </w:tc>
        <w:tc>
          <w:tcPr>
            <w:tcW w:w="1455" w:type="dxa"/>
            <w:tcBorders>
              <w:top w:val="nil"/>
              <w:left w:val="nil"/>
              <w:bottom w:val="single" w:sz="4" w:space="0" w:color="auto"/>
              <w:right w:val="single" w:sz="4" w:space="0" w:color="auto"/>
            </w:tcBorders>
            <w:vAlign w:val="center"/>
          </w:tcPr>
          <w:p w:rsidR="00CA619C" w:rsidRDefault="00CA619C" w:rsidP="00CA619C">
            <w:pPr>
              <w:widowControl/>
              <w:jc w:val="left"/>
              <w:rPr>
                <w:rFonts w:ascii="宋体" w:hAnsi="宋体" w:cs="Arial"/>
                <w:b/>
                <w:bCs/>
                <w:kern w:val="0"/>
                <w:szCs w:val="21"/>
              </w:rPr>
            </w:pPr>
            <w:r>
              <w:rPr>
                <w:rFonts w:ascii="宋体" w:hAnsi="宋体" w:cs="Arial" w:hint="eastAsia"/>
                <w:b/>
                <w:bCs/>
                <w:kern w:val="0"/>
                <w:szCs w:val="21"/>
              </w:rPr>
              <w:t>地质导向系统</w:t>
            </w:r>
          </w:p>
        </w:tc>
        <w:tc>
          <w:tcPr>
            <w:tcW w:w="3648" w:type="dxa"/>
            <w:tcBorders>
              <w:top w:val="nil"/>
              <w:left w:val="nil"/>
              <w:bottom w:val="single" w:sz="4" w:space="0" w:color="auto"/>
              <w:right w:val="single" w:sz="4" w:space="0" w:color="auto"/>
            </w:tcBorders>
            <w:vAlign w:val="center"/>
          </w:tcPr>
          <w:p w:rsidR="00CA619C" w:rsidRDefault="00CA619C" w:rsidP="00CA619C">
            <w:pPr>
              <w:widowControl/>
              <w:jc w:val="left"/>
              <w:rPr>
                <w:rFonts w:ascii="宋体" w:hAnsi="宋体" w:cs="Arial"/>
                <w:kern w:val="0"/>
                <w:szCs w:val="21"/>
              </w:rPr>
            </w:pPr>
            <w:r>
              <w:rPr>
                <w:rFonts w:ascii="宋体" w:hAnsi="宋体" w:cs="Arial" w:hint="eastAsia"/>
                <w:kern w:val="0"/>
                <w:szCs w:val="21"/>
              </w:rPr>
              <w:t>该技术是用近钻头地质、工程参数测量和随钻控制手段来保证实际井眼穿过储层并取得最佳位置</w:t>
            </w:r>
          </w:p>
        </w:tc>
        <w:tc>
          <w:tcPr>
            <w:tcW w:w="3125" w:type="dxa"/>
            <w:vMerge/>
            <w:tcBorders>
              <w:top w:val="nil"/>
              <w:left w:val="single" w:sz="4" w:space="0" w:color="auto"/>
              <w:bottom w:val="single" w:sz="4" w:space="0" w:color="auto"/>
              <w:right w:val="single" w:sz="4" w:space="0" w:color="auto"/>
            </w:tcBorders>
            <w:vAlign w:val="center"/>
          </w:tcPr>
          <w:p w:rsidR="00CA619C" w:rsidRDefault="00CA619C" w:rsidP="00CA619C">
            <w:pPr>
              <w:widowControl/>
              <w:jc w:val="left"/>
              <w:rPr>
                <w:rFonts w:ascii="宋体" w:hAnsi="宋体" w:cs="Arial"/>
                <w:b/>
                <w:bCs/>
                <w:kern w:val="0"/>
                <w:szCs w:val="21"/>
              </w:rPr>
            </w:pPr>
          </w:p>
        </w:tc>
      </w:tr>
      <w:tr w:rsidR="00CA619C" w:rsidTr="00CA619C">
        <w:trPr>
          <w:trHeight w:val="892"/>
          <w:jc w:val="center"/>
        </w:trPr>
        <w:tc>
          <w:tcPr>
            <w:tcW w:w="1320" w:type="dxa"/>
            <w:vMerge w:val="restart"/>
            <w:tcBorders>
              <w:top w:val="nil"/>
              <w:left w:val="single" w:sz="4" w:space="0" w:color="auto"/>
              <w:bottom w:val="single" w:sz="4" w:space="0" w:color="auto"/>
              <w:right w:val="single" w:sz="4" w:space="0" w:color="auto"/>
            </w:tcBorders>
            <w:vAlign w:val="center"/>
          </w:tcPr>
          <w:p w:rsidR="00CA619C" w:rsidRDefault="00CA619C" w:rsidP="00CA619C">
            <w:pPr>
              <w:widowControl/>
              <w:jc w:val="left"/>
              <w:rPr>
                <w:rFonts w:ascii="宋体" w:hAnsi="宋体" w:cs="Arial"/>
                <w:b/>
                <w:bCs/>
                <w:kern w:val="0"/>
              </w:rPr>
            </w:pPr>
            <w:r>
              <w:rPr>
                <w:rFonts w:ascii="宋体" w:hAnsi="宋体" w:cs="Arial"/>
                <w:b/>
                <w:bCs/>
                <w:kern w:val="0"/>
              </w:rPr>
              <w:t>井下作业</w:t>
            </w:r>
            <w:r>
              <w:rPr>
                <w:rFonts w:ascii="宋体" w:hAnsi="宋体" w:cs="Arial" w:hint="eastAsia"/>
                <w:b/>
                <w:bCs/>
                <w:kern w:val="0"/>
              </w:rPr>
              <w:t xml:space="preserve"> </w:t>
            </w:r>
          </w:p>
        </w:tc>
        <w:tc>
          <w:tcPr>
            <w:tcW w:w="1455" w:type="dxa"/>
            <w:tcBorders>
              <w:top w:val="nil"/>
              <w:left w:val="nil"/>
              <w:bottom w:val="single" w:sz="4" w:space="0" w:color="auto"/>
              <w:right w:val="single" w:sz="4" w:space="0" w:color="auto"/>
            </w:tcBorders>
            <w:vAlign w:val="center"/>
          </w:tcPr>
          <w:p w:rsidR="00CA619C" w:rsidRDefault="00CA619C" w:rsidP="00CA619C">
            <w:pPr>
              <w:widowControl/>
              <w:jc w:val="left"/>
              <w:rPr>
                <w:rFonts w:ascii="宋体" w:hAnsi="宋体" w:cs="Arial"/>
                <w:b/>
                <w:bCs/>
                <w:kern w:val="0"/>
                <w:szCs w:val="21"/>
              </w:rPr>
            </w:pPr>
            <w:r>
              <w:rPr>
                <w:rFonts w:ascii="宋体" w:hAnsi="宋体" w:cs="Arial" w:hint="eastAsia"/>
                <w:b/>
                <w:bCs/>
                <w:kern w:val="0"/>
                <w:szCs w:val="21"/>
              </w:rPr>
              <w:t>水力压裂</w:t>
            </w:r>
          </w:p>
        </w:tc>
        <w:tc>
          <w:tcPr>
            <w:tcW w:w="3648" w:type="dxa"/>
            <w:tcBorders>
              <w:top w:val="nil"/>
              <w:left w:val="nil"/>
              <w:bottom w:val="single" w:sz="4" w:space="0" w:color="auto"/>
              <w:right w:val="single" w:sz="4" w:space="0" w:color="auto"/>
            </w:tcBorders>
            <w:vAlign w:val="center"/>
          </w:tcPr>
          <w:p w:rsidR="00CA619C" w:rsidRDefault="00CA619C" w:rsidP="00CA619C">
            <w:pPr>
              <w:widowControl/>
              <w:jc w:val="left"/>
              <w:rPr>
                <w:rFonts w:ascii="宋体" w:hAnsi="宋体" w:cs="Arial"/>
                <w:kern w:val="0"/>
                <w:szCs w:val="21"/>
              </w:rPr>
            </w:pPr>
            <w:r>
              <w:rPr>
                <w:rFonts w:ascii="宋体" w:hAnsi="宋体" w:cs="Arial" w:hint="eastAsia"/>
                <w:kern w:val="0"/>
                <w:szCs w:val="21"/>
              </w:rPr>
              <w:t>该技术的作用是改善储层本身渗透率，提高流体的渗滤通道，加快油气的开采速度，提高单井采收率</w:t>
            </w:r>
          </w:p>
        </w:tc>
        <w:tc>
          <w:tcPr>
            <w:tcW w:w="3125" w:type="dxa"/>
            <w:vMerge w:val="restart"/>
            <w:tcBorders>
              <w:top w:val="nil"/>
              <w:left w:val="single" w:sz="4" w:space="0" w:color="auto"/>
              <w:bottom w:val="single" w:sz="4" w:space="0" w:color="auto"/>
              <w:right w:val="single" w:sz="4" w:space="0" w:color="auto"/>
            </w:tcBorders>
            <w:vAlign w:val="center"/>
          </w:tcPr>
          <w:p w:rsidR="00CA619C" w:rsidRDefault="00CA619C" w:rsidP="00CA619C">
            <w:pPr>
              <w:widowControl/>
              <w:jc w:val="left"/>
              <w:rPr>
                <w:rFonts w:ascii="宋体" w:hAnsi="宋体" w:cs="Arial" w:hint="eastAsia"/>
                <w:kern w:val="0"/>
                <w:szCs w:val="21"/>
              </w:rPr>
            </w:pPr>
            <w:r>
              <w:rPr>
                <w:rFonts w:ascii="宋体" w:hAnsi="宋体" w:cs="Arial" w:hint="eastAsia"/>
                <w:b/>
                <w:bCs/>
                <w:kern w:val="0"/>
                <w:szCs w:val="21"/>
              </w:rPr>
              <w:t>压裂车组：</w:t>
            </w:r>
            <w:r>
              <w:rPr>
                <w:rFonts w:ascii="宋体" w:hAnsi="宋体" w:cs="Arial" w:hint="eastAsia"/>
                <w:kern w:val="0"/>
                <w:szCs w:val="21"/>
              </w:rPr>
              <w:t>江汉油田四机厂、烟台杰瑞石油服务公司、大港油田集团中成机械制造；</w:t>
            </w:r>
          </w:p>
          <w:p w:rsidR="00CA619C" w:rsidRDefault="00CA619C" w:rsidP="00CA619C">
            <w:pPr>
              <w:widowControl/>
              <w:jc w:val="left"/>
              <w:rPr>
                <w:rFonts w:ascii="宋体" w:hAnsi="宋体" w:cs="Arial"/>
                <w:b/>
                <w:bCs/>
                <w:kern w:val="0"/>
                <w:szCs w:val="21"/>
              </w:rPr>
            </w:pPr>
            <w:r>
              <w:rPr>
                <w:rFonts w:ascii="宋体" w:hAnsi="宋体" w:cs="Arial" w:hint="eastAsia"/>
                <w:kern w:val="0"/>
                <w:szCs w:val="21"/>
              </w:rPr>
              <w:t>井下工具：川庆钻探、渤海钻探工程、西部钻探工程有限公司</w:t>
            </w:r>
          </w:p>
        </w:tc>
      </w:tr>
      <w:tr w:rsidR="00CA619C" w:rsidTr="00CA619C">
        <w:trPr>
          <w:trHeight w:val="1224"/>
          <w:jc w:val="center"/>
        </w:trPr>
        <w:tc>
          <w:tcPr>
            <w:tcW w:w="1320" w:type="dxa"/>
            <w:vMerge/>
            <w:tcBorders>
              <w:top w:val="nil"/>
              <w:left w:val="single" w:sz="4" w:space="0" w:color="auto"/>
              <w:bottom w:val="single" w:sz="4" w:space="0" w:color="auto"/>
              <w:right w:val="single" w:sz="4" w:space="0" w:color="auto"/>
            </w:tcBorders>
            <w:vAlign w:val="center"/>
          </w:tcPr>
          <w:p w:rsidR="00CA619C" w:rsidRDefault="00CA619C" w:rsidP="00CA619C">
            <w:pPr>
              <w:widowControl/>
              <w:jc w:val="left"/>
              <w:rPr>
                <w:rFonts w:ascii="宋体" w:hAnsi="宋体" w:cs="Arial"/>
                <w:b/>
                <w:bCs/>
                <w:kern w:val="0"/>
              </w:rPr>
            </w:pPr>
          </w:p>
        </w:tc>
        <w:tc>
          <w:tcPr>
            <w:tcW w:w="1455" w:type="dxa"/>
            <w:tcBorders>
              <w:top w:val="nil"/>
              <w:left w:val="nil"/>
              <w:bottom w:val="single" w:sz="4" w:space="0" w:color="auto"/>
              <w:right w:val="single" w:sz="4" w:space="0" w:color="auto"/>
            </w:tcBorders>
            <w:vAlign w:val="center"/>
          </w:tcPr>
          <w:p w:rsidR="00CA619C" w:rsidRDefault="00CA619C" w:rsidP="00CA619C">
            <w:pPr>
              <w:widowControl/>
              <w:jc w:val="left"/>
              <w:rPr>
                <w:rFonts w:ascii="宋体" w:hAnsi="宋体" w:cs="Arial"/>
                <w:b/>
                <w:bCs/>
                <w:kern w:val="0"/>
                <w:szCs w:val="21"/>
              </w:rPr>
            </w:pPr>
            <w:r>
              <w:rPr>
                <w:rFonts w:ascii="宋体" w:hAnsi="宋体" w:cs="Arial" w:hint="eastAsia"/>
                <w:b/>
                <w:bCs/>
                <w:kern w:val="0"/>
                <w:szCs w:val="21"/>
              </w:rPr>
              <w:t>压裂液等化学剂配方</w:t>
            </w:r>
          </w:p>
        </w:tc>
        <w:tc>
          <w:tcPr>
            <w:tcW w:w="3648" w:type="dxa"/>
            <w:tcBorders>
              <w:top w:val="nil"/>
              <w:left w:val="nil"/>
              <w:bottom w:val="single" w:sz="4" w:space="0" w:color="auto"/>
              <w:right w:val="single" w:sz="4" w:space="0" w:color="auto"/>
            </w:tcBorders>
            <w:vAlign w:val="center"/>
          </w:tcPr>
          <w:p w:rsidR="00CA619C" w:rsidRDefault="00CA619C" w:rsidP="00CA619C">
            <w:pPr>
              <w:widowControl/>
              <w:jc w:val="left"/>
              <w:rPr>
                <w:rFonts w:ascii="宋体" w:hAnsi="宋体" w:cs="Arial"/>
                <w:kern w:val="0"/>
                <w:szCs w:val="21"/>
              </w:rPr>
            </w:pPr>
            <w:r>
              <w:rPr>
                <w:rFonts w:ascii="宋体" w:hAnsi="宋体" w:cs="Arial" w:hint="eastAsia"/>
                <w:kern w:val="0"/>
                <w:szCs w:val="21"/>
              </w:rPr>
              <w:t>水力压裂的关键在于压裂液需针对地层和流体特点加入一些特殊的添加剂和支撑物并形成有特色的工艺体系，以降低储层损害</w:t>
            </w:r>
            <w:r>
              <w:rPr>
                <w:rFonts w:ascii="宋体" w:hAnsi="宋体" w:cs="Arial"/>
                <w:kern w:val="0"/>
                <w:szCs w:val="21"/>
              </w:rPr>
              <w:t>,</w:t>
            </w:r>
            <w:r>
              <w:rPr>
                <w:rFonts w:ascii="宋体" w:hAnsi="宋体" w:cs="Arial" w:hint="eastAsia"/>
                <w:kern w:val="0"/>
                <w:szCs w:val="21"/>
              </w:rPr>
              <w:t>改善页岩气层本身超低的渗透率，提高导流性</w:t>
            </w:r>
          </w:p>
        </w:tc>
        <w:tc>
          <w:tcPr>
            <w:tcW w:w="3125" w:type="dxa"/>
            <w:vMerge/>
            <w:tcBorders>
              <w:top w:val="nil"/>
              <w:left w:val="single" w:sz="4" w:space="0" w:color="auto"/>
              <w:bottom w:val="single" w:sz="4" w:space="0" w:color="auto"/>
              <w:right w:val="single" w:sz="4" w:space="0" w:color="auto"/>
            </w:tcBorders>
            <w:vAlign w:val="center"/>
          </w:tcPr>
          <w:p w:rsidR="00CA619C" w:rsidRDefault="00CA619C" w:rsidP="00CA619C">
            <w:pPr>
              <w:widowControl/>
              <w:jc w:val="left"/>
              <w:rPr>
                <w:rFonts w:ascii="宋体" w:hAnsi="宋体" w:cs="Arial"/>
                <w:b/>
                <w:bCs/>
                <w:kern w:val="0"/>
                <w:szCs w:val="21"/>
              </w:rPr>
            </w:pPr>
          </w:p>
        </w:tc>
      </w:tr>
      <w:tr w:rsidR="00CA619C" w:rsidTr="00CA619C">
        <w:trPr>
          <w:trHeight w:val="1170"/>
          <w:jc w:val="center"/>
        </w:trPr>
        <w:tc>
          <w:tcPr>
            <w:tcW w:w="1320" w:type="dxa"/>
            <w:tcBorders>
              <w:top w:val="nil"/>
              <w:left w:val="single" w:sz="4" w:space="0" w:color="auto"/>
              <w:bottom w:val="single" w:sz="4" w:space="0" w:color="auto"/>
              <w:right w:val="single" w:sz="4" w:space="0" w:color="auto"/>
            </w:tcBorders>
            <w:vAlign w:val="center"/>
          </w:tcPr>
          <w:p w:rsidR="00CA619C" w:rsidRDefault="00CA619C" w:rsidP="00CA619C">
            <w:pPr>
              <w:widowControl/>
              <w:jc w:val="left"/>
              <w:rPr>
                <w:rFonts w:ascii="宋体" w:hAnsi="宋体" w:cs="Arial"/>
                <w:b/>
                <w:bCs/>
                <w:kern w:val="0"/>
              </w:rPr>
            </w:pPr>
            <w:r>
              <w:rPr>
                <w:rFonts w:ascii="宋体" w:hAnsi="宋体" w:cs="Arial"/>
                <w:b/>
                <w:bCs/>
                <w:kern w:val="0"/>
              </w:rPr>
              <w:t>采气</w:t>
            </w:r>
            <w:r>
              <w:rPr>
                <w:rFonts w:ascii="宋体" w:hAnsi="宋体" w:cs="Arial" w:hint="eastAsia"/>
                <w:b/>
                <w:bCs/>
                <w:kern w:val="0"/>
              </w:rPr>
              <w:t xml:space="preserve"> </w:t>
            </w:r>
          </w:p>
        </w:tc>
        <w:tc>
          <w:tcPr>
            <w:tcW w:w="1455" w:type="dxa"/>
            <w:tcBorders>
              <w:top w:val="nil"/>
              <w:left w:val="nil"/>
              <w:bottom w:val="single" w:sz="4" w:space="0" w:color="auto"/>
              <w:right w:val="single" w:sz="4" w:space="0" w:color="auto"/>
            </w:tcBorders>
            <w:vAlign w:val="center"/>
          </w:tcPr>
          <w:p w:rsidR="00CA619C" w:rsidRDefault="00CA619C" w:rsidP="00CA619C">
            <w:pPr>
              <w:widowControl/>
              <w:jc w:val="left"/>
              <w:rPr>
                <w:rFonts w:ascii="宋体" w:hAnsi="宋体" w:cs="Arial"/>
                <w:b/>
                <w:bCs/>
                <w:kern w:val="0"/>
                <w:szCs w:val="21"/>
              </w:rPr>
            </w:pPr>
          </w:p>
        </w:tc>
        <w:tc>
          <w:tcPr>
            <w:tcW w:w="3648" w:type="dxa"/>
            <w:tcBorders>
              <w:top w:val="nil"/>
              <w:left w:val="nil"/>
              <w:bottom w:val="single" w:sz="4" w:space="0" w:color="auto"/>
              <w:right w:val="single" w:sz="4" w:space="0" w:color="auto"/>
            </w:tcBorders>
            <w:vAlign w:val="center"/>
          </w:tcPr>
          <w:p w:rsidR="00CA619C" w:rsidRDefault="00CA619C" w:rsidP="00CA619C">
            <w:pPr>
              <w:widowControl/>
              <w:jc w:val="left"/>
              <w:rPr>
                <w:rFonts w:ascii="宋体" w:hAnsi="宋体" w:cs="Arial"/>
                <w:b/>
                <w:bCs/>
                <w:kern w:val="0"/>
                <w:szCs w:val="21"/>
              </w:rPr>
            </w:pPr>
          </w:p>
        </w:tc>
        <w:tc>
          <w:tcPr>
            <w:tcW w:w="3125" w:type="dxa"/>
            <w:tcBorders>
              <w:top w:val="nil"/>
              <w:left w:val="nil"/>
              <w:bottom w:val="single" w:sz="4" w:space="0" w:color="auto"/>
              <w:right w:val="single" w:sz="4" w:space="0" w:color="auto"/>
            </w:tcBorders>
            <w:vAlign w:val="center"/>
          </w:tcPr>
          <w:p w:rsidR="00CA619C" w:rsidRDefault="00CA619C" w:rsidP="00CA619C">
            <w:pPr>
              <w:widowControl/>
              <w:jc w:val="left"/>
              <w:rPr>
                <w:rFonts w:ascii="宋体" w:hAnsi="宋体" w:cs="Arial"/>
                <w:kern w:val="0"/>
                <w:szCs w:val="21"/>
              </w:rPr>
            </w:pPr>
            <w:r>
              <w:rPr>
                <w:rFonts w:ascii="宋体" w:hAnsi="宋体" w:cs="Arial" w:hint="eastAsia"/>
                <w:b/>
                <w:bCs/>
                <w:kern w:val="0"/>
                <w:szCs w:val="21"/>
              </w:rPr>
              <w:t>气动机：</w:t>
            </w:r>
            <w:r>
              <w:rPr>
                <w:rFonts w:ascii="宋体" w:hAnsi="宋体" w:cs="Arial" w:hint="eastAsia"/>
                <w:kern w:val="0"/>
                <w:szCs w:val="21"/>
              </w:rPr>
              <w:t>济南柴油机股份有限公司、胜动集团；</w:t>
            </w:r>
          </w:p>
          <w:p w:rsidR="00CA619C" w:rsidRDefault="00CA619C" w:rsidP="00CA619C">
            <w:pPr>
              <w:widowControl/>
              <w:jc w:val="left"/>
              <w:rPr>
                <w:rFonts w:ascii="宋体" w:hAnsi="宋体" w:cs="Arial"/>
                <w:b/>
                <w:bCs/>
                <w:kern w:val="0"/>
                <w:szCs w:val="21"/>
              </w:rPr>
            </w:pPr>
            <w:r>
              <w:rPr>
                <w:rFonts w:ascii="宋体" w:hAnsi="宋体" w:cs="Arial" w:hint="eastAsia"/>
                <w:kern w:val="0"/>
                <w:szCs w:val="21"/>
              </w:rPr>
              <w:t>抽油机（可抽气）：渤海装备、玉门油田机械厂、大庆装备制造集团、胜利油田、孚瑞特石油装备公司</w:t>
            </w:r>
          </w:p>
        </w:tc>
      </w:tr>
    </w:tbl>
    <w:p w:rsidR="00CA619C" w:rsidRDefault="00CA619C" w:rsidP="00CA619C">
      <w:pPr>
        <w:pStyle w:val="a2"/>
        <w:ind w:left="840"/>
        <w:rPr>
          <w:rFonts w:hint="eastAsia"/>
        </w:rPr>
      </w:pPr>
      <w:r>
        <w:rPr>
          <w:rFonts w:hint="eastAsia"/>
        </w:rPr>
        <w:t>（资料来源：中国能源网研究中心根据专家访谈资料整理）</w:t>
      </w:r>
    </w:p>
    <w:p w:rsidR="00CA619C" w:rsidRDefault="00CA619C" w:rsidP="00CA619C">
      <w:pPr>
        <w:ind w:firstLine="480"/>
        <w:sectPr w:rsidR="00CA619C">
          <w:pgSz w:w="11906" w:h="16838"/>
          <w:pgMar w:top="1091" w:right="1286" w:bottom="1090" w:left="1440" w:header="851" w:footer="992" w:gutter="0"/>
          <w:cols w:space="720"/>
          <w:docGrid w:type="lines" w:linePitch="312"/>
        </w:sectPr>
      </w:pPr>
    </w:p>
    <w:p w:rsidR="00CA619C" w:rsidRDefault="00CA619C" w:rsidP="00CA619C">
      <w:pPr>
        <w:ind w:firstLine="480"/>
        <w:rPr>
          <w:rFonts w:hint="eastAsia"/>
        </w:rPr>
      </w:pPr>
    </w:p>
    <w:p w:rsidR="00CA619C" w:rsidRDefault="00CA619C" w:rsidP="00CA619C">
      <w:pPr>
        <w:pStyle w:val="Heading1"/>
        <w:rPr>
          <w:rFonts w:hint="eastAsia"/>
        </w:rPr>
      </w:pPr>
      <w:bookmarkStart w:id="74" w:name="_Toc392853121"/>
      <w:r>
        <w:rPr>
          <w:rFonts w:hint="eastAsia"/>
        </w:rPr>
        <w:t>美国新兴能源产业技术创新支撑体系研究</w:t>
      </w:r>
      <w:bookmarkEnd w:id="74"/>
    </w:p>
    <w:p w:rsidR="00CA619C" w:rsidRDefault="00CA619C" w:rsidP="00CA619C">
      <w:pPr>
        <w:pStyle w:val="Heading2"/>
        <w:rPr>
          <w:rFonts w:hint="eastAsia"/>
        </w:rPr>
      </w:pPr>
      <w:bookmarkStart w:id="75" w:name="_Toc392853122"/>
      <w:r>
        <w:rPr>
          <w:rFonts w:hint="eastAsia"/>
        </w:rPr>
        <w:t>美国新兴能源产业技术创新支撑体系框架</w:t>
      </w:r>
      <w:bookmarkEnd w:id="75"/>
    </w:p>
    <w:p w:rsidR="00CA619C" w:rsidRDefault="00CA619C" w:rsidP="00CA619C">
      <w:pPr>
        <w:ind w:firstLine="480"/>
        <w:rPr>
          <w:rFonts w:hint="eastAsia"/>
          <w:lang w:val="en-US" w:eastAsia="en-US"/>
        </w:rPr>
      </w:pPr>
      <w:r>
        <w:rPr>
          <w:rFonts w:hint="eastAsia"/>
          <w:lang w:val="en-US" w:eastAsia="en-US"/>
        </w:rPr>
        <w:t>技术是新兴能源产业发展的引擎，有效的促进科技进步是推动新兴能源产业发展的根本。从美国新兴能源技术发展的实践来看，一个能够支持长期技术创新的研发体系和多渠道的商业化机制是推动新兴能源产业发展不可或缺的条件。与我国拥有非常强大的由政府计划推广的扶持科技创新的战略相比较，美国由市场逐渐形成的清洁能源技术创新体系总体上缺乏一项由联邦政府能源政策或一项联邦政府级别的清洁能源创新战略。然而，由美国能源部主要主导的对各类能源项目进行的“缝补工作”已经培育了一个为传统的衡量方法所认为的强有力的能源产业技术创新及支持体系。目前，美国已经形成相对比较完善的新兴能源产业技术创新链条及支撑服务体系，即技术在不同发展阶段就拥有多元化的技术供给主体，且处在技术生命周期中的不同技术供给主体也得到了多种投资的资金支持，并有政府灵活的产业政策给予配套扶持。总的来讲，美国新兴能源产业技术创新支撑体系的基本框架可归纳总结为：在产业不同发展阶段，不同的市场创新主体与金融投资主体所发挥的作用各有侧重，且这些市场化的行为在政府相关产业政策及监管的引导下形成良好的衔接，建立起一套有序的技术创新“接力棒”链条，促使技术从源头创新到实验试验，再到示范及初期应用，再到规模化市场应用，已经形成了一条有序衔接起来的技术创新支撑体系模型</w:t>
      </w:r>
      <w:r>
        <w:rPr>
          <w:rFonts w:hint="eastAsia"/>
          <w:lang w:val="en-US" w:eastAsia="en-US"/>
        </w:rPr>
        <w:t>/</w:t>
      </w:r>
      <w:r>
        <w:rPr>
          <w:rFonts w:hint="eastAsia"/>
          <w:lang w:val="en-US" w:eastAsia="en-US"/>
        </w:rPr>
        <w:t>框架。</w:t>
      </w:r>
    </w:p>
    <w:p w:rsidR="00CA619C" w:rsidRDefault="00CA619C" w:rsidP="00CA619C">
      <w:pPr>
        <w:widowControl/>
        <w:jc w:val="center"/>
        <w:rPr>
          <w:rFonts w:ascii="宋体" w:hAnsi="宋体" w:cs="宋体"/>
          <w:kern w:val="0"/>
        </w:rPr>
      </w:pPr>
      <w:r>
        <w:rPr>
          <w:rFonts w:ascii="宋体" w:hAnsi="宋体" w:cs="宋体"/>
          <w:noProof/>
          <w:kern w:val="0"/>
          <w:lang w:eastAsia="en-US"/>
        </w:rPr>
        <w:drawing>
          <wp:inline distT="0" distB="0" distL="0" distR="0">
            <wp:extent cx="5202555" cy="2821940"/>
            <wp:effectExtent l="0" t="0" r="4445" b="0"/>
            <wp:docPr id="28" name="Picture 9" descr="{JPV}7][%$~G5$GVKI9Q1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PV}7][%$~G5$GVKI9Q15U"/>
                    <pic:cNvPicPr>
                      <a:picLocks noChangeAspect="1" noChangeArrowheads="1"/>
                    </pic:cNvPicPr>
                  </pic:nvPicPr>
                  <pic:blipFill>
                    <a:blip r:embed="rId43">
                      <a:extLst>
                        <a:ext uri="{28A0092B-C50C-407E-A947-70E740481C1C}">
                          <a14:useLocalDpi xmlns:a14="http://schemas.microsoft.com/office/drawing/2010/main" val="0"/>
                        </a:ext>
                      </a:extLst>
                    </a:blip>
                    <a:srcRect l="786"/>
                    <a:stretch>
                      <a:fillRect/>
                    </a:stretch>
                  </pic:blipFill>
                  <pic:spPr bwMode="auto">
                    <a:xfrm>
                      <a:off x="0" y="0"/>
                      <a:ext cx="5202555" cy="2821940"/>
                    </a:xfrm>
                    <a:prstGeom prst="rect">
                      <a:avLst/>
                    </a:prstGeom>
                    <a:noFill/>
                    <a:ln>
                      <a:noFill/>
                    </a:ln>
                  </pic:spPr>
                </pic:pic>
              </a:graphicData>
            </a:graphic>
          </wp:inline>
        </w:drawing>
      </w:r>
    </w:p>
    <w:p w:rsidR="00CA619C" w:rsidRDefault="00CA619C" w:rsidP="00CA619C">
      <w:pPr>
        <w:pStyle w:val="a3"/>
        <w:rPr>
          <w:rFonts w:hint="eastAsia"/>
        </w:rPr>
      </w:pPr>
      <w:bookmarkStart w:id="76" w:name="_Toc392853212"/>
      <w:r>
        <w:rPr>
          <w:rFonts w:hint="eastAsia"/>
        </w:rPr>
        <w:t>美国新兴能源产业技术创新支撑体系框架</w:t>
      </w:r>
      <w:bookmarkEnd w:id="76"/>
    </w:p>
    <w:p w:rsidR="00CA619C" w:rsidRDefault="00CA619C" w:rsidP="00CA619C">
      <w:pPr>
        <w:pStyle w:val="a3"/>
        <w:numPr>
          <w:ilvl w:val="0"/>
          <w:numId w:val="0"/>
        </w:numPr>
        <w:jc w:val="both"/>
      </w:pPr>
    </w:p>
    <w:p w:rsidR="00CA619C" w:rsidRDefault="00CA619C" w:rsidP="00CA619C">
      <w:pPr>
        <w:pStyle w:val="Heading2"/>
        <w:tabs>
          <w:tab w:val="clear" w:pos="575"/>
        </w:tabs>
        <w:rPr>
          <w:rFonts w:hint="eastAsia"/>
        </w:rPr>
      </w:pPr>
      <w:bookmarkStart w:id="77" w:name="_Toc392853123"/>
      <w:r>
        <w:rPr>
          <w:rFonts w:hint="eastAsia"/>
        </w:rPr>
        <w:t>新兴能源创新技术供给</w:t>
      </w:r>
      <w:bookmarkEnd w:id="77"/>
    </w:p>
    <w:p w:rsidR="00CA619C" w:rsidRDefault="00CA619C" w:rsidP="00CA619C">
      <w:pPr>
        <w:pStyle w:val="Heading3"/>
        <w:numPr>
          <w:ilvl w:val="2"/>
          <w:numId w:val="1"/>
        </w:numPr>
        <w:tabs>
          <w:tab w:val="clear" w:pos="720"/>
        </w:tabs>
      </w:pPr>
      <w:bookmarkStart w:id="78" w:name="_Toc392853124"/>
      <w:r>
        <w:rPr>
          <w:rFonts w:hint="eastAsia"/>
        </w:rPr>
        <w:t>美国新兴能源技术创新领导力</w:t>
      </w:r>
      <w:bookmarkEnd w:id="78"/>
    </w:p>
    <w:p w:rsidR="00CA619C" w:rsidRDefault="00CA619C" w:rsidP="00CA619C">
      <w:pPr>
        <w:pStyle w:val="1"/>
        <w:spacing w:after="0"/>
        <w:ind w:left="0" w:firstLine="480"/>
        <w:rPr>
          <w:rFonts w:ascii="宋体" w:hAnsi="宋体" w:cs="宋体"/>
          <w:lang w:eastAsia="zh-CN"/>
        </w:rPr>
      </w:pPr>
      <w:r>
        <w:rPr>
          <w:rFonts w:ascii="宋体" w:hAnsi="宋体" w:cs="宋体" w:hint="eastAsia"/>
          <w:lang w:eastAsia="zh-CN"/>
        </w:rPr>
        <w:t>科技进步是美国经济增长的主推手。20世纪以来，美国一直是创新能力最强的国家，无论是历史同期还是现在，美国的科技贡献率在全球都首屈一指。2008年美国GDP为14.33万亿美元，居世界首位，远超位居第二的日本，即便发生了金融危机，2009年GDP仍达到14.27万亿美元，继续保持世界第一。美国以不到世界5%的人口（4.53%），创造了全世界24%的财富（按GDP占全球总量计算）和40%的高科技产品。美国里奇蒙德储备银行（Richmond FED）主席莱克（Jeffrey Lacker）说：“近年来，推动美国薪资和就业趋势的幕后因素是科技进步，而非贸易。”1929年至1941年，美国科技进步对经济增长的贡献率达到33.8%；到上世纪80年代，美国的科技贡献率高达80%。</w:t>
      </w:r>
      <w:r>
        <w:rPr>
          <w:rStyle w:val="FootnoteReference"/>
          <w:rFonts w:ascii="宋体" w:hAnsi="宋体" w:cs="宋体"/>
        </w:rPr>
        <w:footnoteReference w:id="12"/>
      </w:r>
      <w:r>
        <w:rPr>
          <w:rFonts w:ascii="宋体" w:hAnsi="宋体" w:cs="宋体" w:hint="eastAsia"/>
          <w:lang w:eastAsia="zh-CN"/>
        </w:rPr>
        <w:t> </w:t>
      </w:r>
    </w:p>
    <w:p w:rsidR="00CA619C" w:rsidRDefault="00CA619C" w:rsidP="00CA619C">
      <w:pPr>
        <w:ind w:firstLine="480"/>
      </w:pPr>
      <w:r>
        <w:rPr>
          <w:rFonts w:hint="eastAsia"/>
        </w:rPr>
        <w:t>据兰德公司</w:t>
      </w:r>
      <w:r>
        <w:rPr>
          <w:rFonts w:hint="eastAsia"/>
        </w:rPr>
        <w:t>2008</w:t>
      </w:r>
      <w:r>
        <w:rPr>
          <w:rFonts w:hint="eastAsia"/>
        </w:rPr>
        <w:t>年报告，美国在科技研发方面的支出占全球总量的</w:t>
      </w:r>
      <w:r>
        <w:rPr>
          <w:rFonts w:hint="eastAsia"/>
        </w:rPr>
        <w:t>40</w:t>
      </w:r>
      <w:r>
        <w:rPr>
          <w:rFonts w:hint="eastAsia"/>
        </w:rPr>
        <w:t>％，工业化国家所有专利发明的</w:t>
      </w:r>
      <w:r>
        <w:rPr>
          <w:rFonts w:hint="eastAsia"/>
        </w:rPr>
        <w:t>38</w:t>
      </w:r>
      <w:r>
        <w:rPr>
          <w:rFonts w:hint="eastAsia"/>
        </w:rPr>
        <w:t>％。在世界经济论坛（</w:t>
      </w:r>
      <w:r>
        <w:rPr>
          <w:rFonts w:hint="eastAsia"/>
        </w:rPr>
        <w:t>World Economic Forum, WEF</w:t>
      </w:r>
      <w:r>
        <w:rPr>
          <w:rFonts w:hint="eastAsia"/>
        </w:rPr>
        <w:t>）发布的《全球竞争力报告</w:t>
      </w:r>
      <w:r>
        <w:rPr>
          <w:rFonts w:hint="eastAsia"/>
        </w:rPr>
        <w:t>2009</w:t>
      </w:r>
      <w:r>
        <w:rPr>
          <w:rFonts w:hint="eastAsia"/>
        </w:rPr>
        <w:t>－</w:t>
      </w:r>
      <w:r>
        <w:rPr>
          <w:rFonts w:hint="eastAsia"/>
        </w:rPr>
        <w:t>2010</w:t>
      </w:r>
      <w:r>
        <w:rPr>
          <w:rFonts w:hint="eastAsia"/>
        </w:rPr>
        <w:t>》中，美国保持着国际竞争力的领导者地位。从“科技创新与成熟度”因素的排名来看，美国居全球第一位，其中“创新”的因素名列第一，是全球创新能力最强的国家。而美国之所以能成为当今世界首屈一指的科技强国，其强大科技实力的背后隐藏着一个完善的科技创新体系。</w:t>
      </w:r>
    </w:p>
    <w:p w:rsidR="00CA619C" w:rsidRDefault="00CA619C" w:rsidP="00CA619C">
      <w:pPr>
        <w:pStyle w:val="1"/>
        <w:spacing w:after="0"/>
        <w:ind w:left="0" w:firstLine="519"/>
        <w:rPr>
          <w:rFonts w:ascii="宋体" w:hAnsi="宋体" w:cs="宋体" w:hint="eastAsia"/>
          <w:b/>
          <w:lang w:eastAsia="zh-CN"/>
        </w:rPr>
      </w:pPr>
      <w:r>
        <w:rPr>
          <w:rFonts w:ascii="宋体" w:hAnsi="宋体" w:cs="宋体" w:hint="eastAsia"/>
          <w:b/>
          <w:lang w:eastAsia="zh-CN"/>
        </w:rPr>
        <w:t>总的来讲，美国</w:t>
      </w:r>
      <w:r>
        <w:rPr>
          <w:rFonts w:ascii="宋体" w:hAnsi="宋体" w:cs="宋体"/>
          <w:b/>
          <w:lang w:eastAsia="zh-CN"/>
        </w:rPr>
        <w:t>的科技创新体系可以划分为四大系统：联邦政府系统、企业系统、高等院校系统和其他非营利系统。</w:t>
      </w:r>
    </w:p>
    <w:p w:rsidR="00CA619C" w:rsidRDefault="00CA619C" w:rsidP="00CA619C">
      <w:pPr>
        <w:pStyle w:val="Heading3"/>
        <w:numPr>
          <w:ilvl w:val="2"/>
          <w:numId w:val="1"/>
        </w:numPr>
        <w:tabs>
          <w:tab w:val="clear" w:pos="720"/>
        </w:tabs>
        <w:rPr>
          <w:rFonts w:hint="eastAsia"/>
        </w:rPr>
      </w:pPr>
      <w:bookmarkStart w:id="79" w:name="_Toc392853125"/>
      <w:r>
        <w:rPr>
          <w:rFonts w:hint="eastAsia"/>
        </w:rPr>
        <w:t>联邦政府系统的公共研发机构和国家实验室</w:t>
      </w:r>
      <w:bookmarkEnd w:id="79"/>
    </w:p>
    <w:p w:rsidR="00CA619C" w:rsidRDefault="00CA619C" w:rsidP="00CA619C">
      <w:pPr>
        <w:pStyle w:val="Heading4"/>
        <w:tabs>
          <w:tab w:val="left" w:pos="864"/>
        </w:tabs>
        <w:rPr>
          <w:rFonts w:hint="eastAsia"/>
        </w:rPr>
      </w:pPr>
      <w:r>
        <w:rPr>
          <w:rFonts w:hint="eastAsia"/>
        </w:rPr>
        <w:t>强大的公共研发机构是美国形成技术创新能力，并实现技术领先的重要源泉</w:t>
      </w:r>
    </w:p>
    <w:p w:rsidR="00CA619C" w:rsidRDefault="00CA619C" w:rsidP="00CA619C">
      <w:pPr>
        <w:ind w:firstLine="480"/>
        <w:rPr>
          <w:rFonts w:hint="eastAsia"/>
        </w:rPr>
      </w:pPr>
      <w:r>
        <w:rPr>
          <w:rFonts w:hint="eastAsia"/>
        </w:rPr>
        <w:t>在美国能源产业技术研发体系中，公共研发机构发挥了不可获取的作用。公共研发机构为美国工业创新提供了基础知识，公用的基础知识为能源产业技术的创新与突破提供了多样性的空间。</w:t>
      </w:r>
    </w:p>
    <w:p w:rsidR="00CA619C" w:rsidRDefault="00CA619C" w:rsidP="00CA619C">
      <w:pPr>
        <w:ind w:firstLine="480"/>
        <w:rPr>
          <w:rFonts w:hint="eastAsia"/>
        </w:rPr>
      </w:pPr>
      <w:r>
        <w:rPr>
          <w:rFonts w:hint="eastAsia"/>
        </w:rPr>
        <w:t>当然，必须强调的是，美国的公共研发机构向来都是以强调长期的、巨大经济利益为目标的技术进步，并不</w:t>
      </w:r>
      <w:r>
        <w:t>具备判断市场竞争中技术的经济可行性、辨识市场需求细节的能力。</w:t>
      </w:r>
      <w:r>
        <w:rPr>
          <w:rFonts w:hint="eastAsia"/>
        </w:rPr>
        <w:t>公共研发部门既是长期创新发展的重要条件，也是创新兴经济发展的结果。它的职能既体现为把先行出现工业成就以理论化（如历史上的内燃机、航空器），也包括通过提供基础知识以催生新的工业产品（如生物制药、化工等工业）；它既为工业界提供基础知识，也从工业界吸收新知识、掌握新动向，从而扮演了社会整体的知识“存取中枢”的作用。正因为这个“存取中枢”是对公众开放的，公共部门的技术进步也会激励私人企业增加研发投入以追赶或保持技术优势，否则它可能就会落后于其他充分利用了公用知识并成功守住前沿技术的企业。</w:t>
      </w:r>
    </w:p>
    <w:p w:rsidR="00CA619C" w:rsidRDefault="00CA619C" w:rsidP="00CA619C">
      <w:pPr>
        <w:ind w:firstLine="480"/>
        <w:rPr>
          <w:rFonts w:hint="eastAsia"/>
        </w:rPr>
      </w:pPr>
      <w:r>
        <w:rPr>
          <w:rFonts w:hint="eastAsia"/>
        </w:rPr>
        <w:t>以风电和光伏等新能源产业为例，美国作为全球新能源技术的源头创新者，其优势是创新与投资活跃，劣势是制造成本高。这种条件决定了发展的速度可能比部分发展中国家（如中国）稍慢，但后劲足。不同的发展道路，决定了美国和中国在新能源产业链上的不同定位。美国靠技术创新占据产业链高端，获取的是高附加值的经济利益，而我们国家靠制造优势占据的是新能源产业链的中低端，以高投入和高消耗获取经济利益的小头。美国新能源技术创新的源头恰恰来自于其多年形成的、并由政府坚定支持的能源公共研发体系。例如：美国能源部一项重要使命就是支持能源包括新能源的技术创新。美国能源部对技术研发的支持是从基础科学开始，同时覆盖技术可行性研究、技术开发、技术示范、小规模工程、大规模工程这个从头到尾的创新链。而在支持环节中，尤其是以支持基础研究为主。</w:t>
      </w:r>
    </w:p>
    <w:p w:rsidR="00CA619C" w:rsidRDefault="00CA619C" w:rsidP="00CA619C">
      <w:pPr>
        <w:ind w:firstLine="480"/>
        <w:jc w:val="center"/>
      </w:pPr>
      <w:r>
        <w:rPr>
          <w:noProof/>
          <w:lang w:eastAsia="en-US"/>
        </w:rPr>
        <w:drawing>
          <wp:inline distT="0" distB="0" distL="0" distR="0">
            <wp:extent cx="5313045" cy="2932430"/>
            <wp:effectExtent l="0" t="0" r="0" b="0"/>
            <wp:docPr id="29" name="图片 11"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无标题"/>
                    <pic:cNvPicPr>
                      <a:picLocks noChangeAspect="1" noChangeArrowheads="1"/>
                    </pic:cNvPicPr>
                  </pic:nvPicPr>
                  <pic:blipFill>
                    <a:blip r:embed="rId44">
                      <a:extLst>
                        <a:ext uri="{28A0092B-C50C-407E-A947-70E740481C1C}">
                          <a14:useLocalDpi xmlns:a14="http://schemas.microsoft.com/office/drawing/2010/main" val="0"/>
                        </a:ext>
                      </a:extLst>
                    </a:blip>
                    <a:srcRect r="10693" b="8290"/>
                    <a:stretch>
                      <a:fillRect/>
                    </a:stretch>
                  </pic:blipFill>
                  <pic:spPr bwMode="auto">
                    <a:xfrm>
                      <a:off x="0" y="0"/>
                      <a:ext cx="5313045" cy="2932430"/>
                    </a:xfrm>
                    <a:prstGeom prst="rect">
                      <a:avLst/>
                    </a:prstGeom>
                    <a:noFill/>
                    <a:ln>
                      <a:noFill/>
                    </a:ln>
                  </pic:spPr>
                </pic:pic>
              </a:graphicData>
            </a:graphic>
          </wp:inline>
        </w:drawing>
      </w:r>
    </w:p>
    <w:p w:rsidR="00CA619C" w:rsidRDefault="00CA619C" w:rsidP="00CA619C">
      <w:pPr>
        <w:pStyle w:val="a3"/>
        <w:tabs>
          <w:tab w:val="left" w:pos="425"/>
        </w:tabs>
      </w:pPr>
      <w:bookmarkStart w:id="80" w:name="_Toc343438115"/>
      <w:bookmarkStart w:id="81" w:name="_Toc392853213"/>
      <w:r>
        <w:rPr>
          <w:rFonts w:hint="eastAsia"/>
        </w:rPr>
        <w:t>美国能源部对能源技术的支持体系</w:t>
      </w:r>
      <w:bookmarkEnd w:id="80"/>
      <w:bookmarkEnd w:id="81"/>
    </w:p>
    <w:p w:rsidR="00CA619C" w:rsidRDefault="00CA619C" w:rsidP="00CA619C">
      <w:pPr>
        <w:pStyle w:val="a2"/>
        <w:ind w:left="840"/>
        <w:rPr>
          <w:rFonts w:hint="eastAsia"/>
        </w:rPr>
      </w:pPr>
      <w:r>
        <w:rPr>
          <w:rFonts w:hint="eastAsia"/>
        </w:rPr>
        <w:t>（资料来源：</w:t>
      </w:r>
      <w:r>
        <w:rPr>
          <w:rFonts w:hint="eastAsia"/>
        </w:rPr>
        <w:t xml:space="preserve"> Advisor for International Programs, Corey Cohn,DOE Office of Science</w:t>
      </w:r>
      <w:r>
        <w:rPr>
          <w:rFonts w:hint="eastAsia"/>
        </w:rPr>
        <w:t>）</w:t>
      </w:r>
    </w:p>
    <w:p w:rsidR="00CA619C" w:rsidRDefault="00CA619C" w:rsidP="00CA619C">
      <w:pPr>
        <w:pStyle w:val="Heading4"/>
        <w:tabs>
          <w:tab w:val="left" w:pos="864"/>
        </w:tabs>
        <w:rPr>
          <w:rFonts w:hint="eastAsia"/>
        </w:rPr>
      </w:pPr>
      <w:r>
        <w:rPr>
          <w:rFonts w:hint="eastAsia"/>
        </w:rPr>
        <w:t>国家实验室是美国在能源技术领域领先全球的根本力量</w:t>
      </w:r>
    </w:p>
    <w:p w:rsidR="00CA619C" w:rsidRDefault="00CA619C" w:rsidP="00CA619C">
      <w:pPr>
        <w:ind w:firstLine="480"/>
        <w:rPr>
          <w:rFonts w:hint="eastAsia"/>
        </w:rPr>
      </w:pPr>
      <w:r>
        <w:t>在美国联邦政府系统内，国家实验室是主要的科技骨干力量。目前</w:t>
      </w:r>
      <w:r>
        <w:rPr>
          <w:rFonts w:hint="eastAsia"/>
        </w:rPr>
        <w:t>，</w:t>
      </w:r>
      <w:r>
        <w:t>全美大约有</w:t>
      </w:r>
      <w:r>
        <w:t>800</w:t>
      </w:r>
      <w:r>
        <w:t>个国家实验室，年度经费约占政府</w:t>
      </w:r>
      <w:r>
        <w:t>R&amp;D</w:t>
      </w:r>
      <w:r>
        <w:t>总经费的</w:t>
      </w:r>
      <w:r>
        <w:t>1/3</w:t>
      </w:r>
      <w:r>
        <w:t>。</w:t>
      </w:r>
      <w:r>
        <w:rPr>
          <w:rFonts w:hint="eastAsia"/>
        </w:rPr>
        <w:t>美国能源领域的基础研究，以及源头性技术的研究和转让主要是由</w:t>
      </w:r>
      <w:r>
        <w:t>国家实验室</w:t>
      </w:r>
      <w:r>
        <w:rPr>
          <w:rFonts w:hint="eastAsia"/>
        </w:rPr>
        <w:t>承担的</w:t>
      </w:r>
      <w:r>
        <w:t>。</w:t>
      </w:r>
      <w:r>
        <w:rPr>
          <w:rFonts w:hint="eastAsia"/>
        </w:rPr>
        <w:t>美国能源部下属有多个国家实验室长期进行有关能源基础领域的研究和应用研究，主要实验室包括国家可再生能源实验室，劳伦斯伯克利国家实验室，桑迪亚国家实验室、</w:t>
      </w:r>
      <w:r>
        <w:t>新墨西哥州的洛斯阿拉莫斯国家实验室、田纳西州的橡树岭国家实验室、佛罗里达州的肯尼迪航天中心</w:t>
      </w:r>
      <w:r>
        <w:rPr>
          <w:rFonts w:hint="eastAsia"/>
        </w:rPr>
        <w:t>，以及阿贡国家实验室等等。下表是与能源领域研关的一些国家实验室，多数隶属于国家能源部，这支力量是美国在能源领域主导全球的根本力量。</w:t>
      </w:r>
    </w:p>
    <w:p w:rsidR="00CA619C" w:rsidRDefault="00CA619C" w:rsidP="00CA619C">
      <w:pPr>
        <w:pStyle w:val="a"/>
        <w:rPr>
          <w:rFonts w:hint="eastAsia"/>
        </w:rPr>
      </w:pPr>
      <w:bookmarkStart w:id="82" w:name="_Toc343438153"/>
      <w:bookmarkStart w:id="83" w:name="_Toc4053"/>
      <w:bookmarkStart w:id="84" w:name="_Toc22134"/>
      <w:bookmarkStart w:id="85" w:name="_Toc392853325"/>
      <w:r>
        <w:rPr>
          <w:rFonts w:hint="eastAsia"/>
        </w:rPr>
        <w:t>部分设在美国研究型大学中的国家实验室概况</w:t>
      </w:r>
      <w:bookmarkEnd w:id="82"/>
      <w:bookmarkEnd w:id="83"/>
      <w:bookmarkEnd w:id="84"/>
      <w:bookmarkEnd w:id="85"/>
    </w:p>
    <w:tbl>
      <w:tblPr>
        <w:tblW w:w="0" w:type="auto"/>
        <w:jc w:val="center"/>
        <w:tblLayout w:type="fixed"/>
        <w:tblCellMar>
          <w:left w:w="30" w:type="dxa"/>
          <w:right w:w="30" w:type="dxa"/>
        </w:tblCellMar>
        <w:tblLook w:val="0000" w:firstRow="0" w:lastRow="0" w:firstColumn="0" w:lastColumn="0" w:noHBand="0" w:noVBand="0"/>
      </w:tblPr>
      <w:tblGrid>
        <w:gridCol w:w="1142"/>
        <w:gridCol w:w="800"/>
        <w:gridCol w:w="1177"/>
        <w:gridCol w:w="709"/>
        <w:gridCol w:w="1134"/>
        <w:gridCol w:w="780"/>
        <w:gridCol w:w="1100"/>
        <w:gridCol w:w="2027"/>
      </w:tblGrid>
      <w:tr w:rsidR="00CA619C" w:rsidTr="00CA619C">
        <w:trPr>
          <w:trHeight w:val="680"/>
          <w:jc w:val="center"/>
        </w:trPr>
        <w:tc>
          <w:tcPr>
            <w:tcW w:w="1142"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b/>
                <w:color w:val="000000"/>
                <w:szCs w:val="21"/>
              </w:rPr>
            </w:pPr>
            <w:r>
              <w:rPr>
                <w:rFonts w:ascii="宋体" w:hAnsi="宋体"/>
                <w:b/>
                <w:color w:val="000000"/>
                <w:szCs w:val="21"/>
              </w:rPr>
              <w:t>实验室</w:t>
            </w:r>
          </w:p>
          <w:p w:rsidR="00CA619C" w:rsidRDefault="00CA619C" w:rsidP="00CA619C">
            <w:pPr>
              <w:autoSpaceDE w:val="0"/>
              <w:autoSpaceDN w:val="0"/>
              <w:adjustRightInd w:val="0"/>
              <w:jc w:val="center"/>
              <w:rPr>
                <w:rFonts w:ascii="宋体" w:hAnsi="宋体"/>
                <w:b/>
                <w:color w:val="000000"/>
                <w:szCs w:val="21"/>
              </w:rPr>
            </w:pPr>
            <w:r>
              <w:rPr>
                <w:rFonts w:ascii="宋体" w:hAnsi="宋体"/>
                <w:b/>
                <w:color w:val="000000"/>
                <w:szCs w:val="21"/>
              </w:rPr>
              <w:t>名称</w:t>
            </w:r>
          </w:p>
        </w:tc>
        <w:tc>
          <w:tcPr>
            <w:tcW w:w="80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b/>
                <w:color w:val="000000"/>
                <w:szCs w:val="21"/>
              </w:rPr>
            </w:pPr>
            <w:r>
              <w:rPr>
                <w:rFonts w:ascii="宋体" w:hAnsi="宋体"/>
                <w:b/>
                <w:color w:val="000000"/>
                <w:szCs w:val="21"/>
              </w:rPr>
              <w:t>成立</w:t>
            </w:r>
          </w:p>
          <w:p w:rsidR="00CA619C" w:rsidRDefault="00CA619C" w:rsidP="00CA619C">
            <w:pPr>
              <w:autoSpaceDE w:val="0"/>
              <w:autoSpaceDN w:val="0"/>
              <w:adjustRightInd w:val="0"/>
              <w:jc w:val="center"/>
              <w:rPr>
                <w:rFonts w:ascii="宋体" w:hAnsi="宋体"/>
                <w:b/>
                <w:color w:val="000000"/>
                <w:szCs w:val="21"/>
              </w:rPr>
            </w:pPr>
            <w:r>
              <w:rPr>
                <w:rFonts w:ascii="宋体" w:hAnsi="宋体"/>
                <w:b/>
                <w:color w:val="000000"/>
                <w:szCs w:val="21"/>
              </w:rPr>
              <w:t>时间</w:t>
            </w:r>
          </w:p>
        </w:tc>
        <w:tc>
          <w:tcPr>
            <w:tcW w:w="1177"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b/>
                <w:color w:val="000000"/>
                <w:szCs w:val="21"/>
              </w:rPr>
            </w:pPr>
            <w:r>
              <w:rPr>
                <w:rFonts w:ascii="宋体" w:hAnsi="宋体"/>
                <w:b/>
                <w:color w:val="000000"/>
                <w:szCs w:val="21"/>
              </w:rPr>
              <w:t>成立原因</w:t>
            </w:r>
          </w:p>
        </w:tc>
        <w:tc>
          <w:tcPr>
            <w:tcW w:w="709"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b/>
                <w:color w:val="000000"/>
                <w:szCs w:val="21"/>
              </w:rPr>
            </w:pPr>
            <w:r>
              <w:rPr>
                <w:rFonts w:ascii="宋体" w:hAnsi="宋体"/>
                <w:b/>
                <w:color w:val="000000"/>
                <w:szCs w:val="21"/>
              </w:rPr>
              <w:t>人数</w:t>
            </w:r>
          </w:p>
        </w:tc>
        <w:tc>
          <w:tcPr>
            <w:tcW w:w="1134"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b/>
                <w:color w:val="000000"/>
                <w:szCs w:val="21"/>
              </w:rPr>
            </w:pPr>
            <w:r>
              <w:rPr>
                <w:rFonts w:ascii="宋体" w:hAnsi="宋体"/>
                <w:b/>
                <w:color w:val="000000"/>
                <w:szCs w:val="21"/>
              </w:rPr>
              <w:t>每年经费</w:t>
            </w:r>
          </w:p>
        </w:tc>
        <w:tc>
          <w:tcPr>
            <w:tcW w:w="78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b/>
                <w:color w:val="000000"/>
                <w:szCs w:val="21"/>
              </w:rPr>
            </w:pPr>
            <w:r>
              <w:rPr>
                <w:rFonts w:ascii="宋体" w:hAnsi="宋体"/>
                <w:b/>
                <w:color w:val="000000"/>
                <w:szCs w:val="21"/>
              </w:rPr>
              <w:t>隶属</w:t>
            </w:r>
          </w:p>
          <w:p w:rsidR="00CA619C" w:rsidRDefault="00CA619C" w:rsidP="00CA619C">
            <w:pPr>
              <w:autoSpaceDE w:val="0"/>
              <w:autoSpaceDN w:val="0"/>
              <w:adjustRightInd w:val="0"/>
              <w:jc w:val="center"/>
              <w:rPr>
                <w:rFonts w:ascii="宋体" w:hAnsi="宋体"/>
                <w:b/>
                <w:color w:val="000000"/>
                <w:szCs w:val="21"/>
              </w:rPr>
            </w:pPr>
            <w:r>
              <w:rPr>
                <w:rFonts w:ascii="宋体" w:hAnsi="宋体"/>
                <w:b/>
                <w:color w:val="000000"/>
                <w:szCs w:val="21"/>
              </w:rPr>
              <w:t>部门</w:t>
            </w:r>
          </w:p>
        </w:tc>
        <w:tc>
          <w:tcPr>
            <w:tcW w:w="110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b/>
                <w:color w:val="000000"/>
                <w:szCs w:val="21"/>
              </w:rPr>
            </w:pPr>
            <w:r>
              <w:rPr>
                <w:rFonts w:ascii="宋体" w:hAnsi="宋体"/>
                <w:b/>
                <w:color w:val="000000"/>
                <w:szCs w:val="21"/>
              </w:rPr>
              <w:t>所在大学</w:t>
            </w:r>
          </w:p>
        </w:tc>
        <w:tc>
          <w:tcPr>
            <w:tcW w:w="2027"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b/>
                <w:color w:val="000000"/>
                <w:szCs w:val="21"/>
              </w:rPr>
            </w:pPr>
            <w:r>
              <w:rPr>
                <w:rFonts w:ascii="宋体" w:hAnsi="宋体"/>
                <w:b/>
                <w:color w:val="000000"/>
                <w:szCs w:val="21"/>
              </w:rPr>
              <w:t>目前研究方向</w:t>
            </w:r>
          </w:p>
        </w:tc>
      </w:tr>
      <w:tr w:rsidR="00CA619C" w:rsidTr="00CA619C">
        <w:trPr>
          <w:trHeight w:val="680"/>
          <w:jc w:val="center"/>
        </w:trPr>
        <w:tc>
          <w:tcPr>
            <w:tcW w:w="1142"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直线加速器中心</w:t>
            </w:r>
          </w:p>
        </w:tc>
        <w:tc>
          <w:tcPr>
            <w:tcW w:w="80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1962年</w:t>
            </w:r>
          </w:p>
        </w:tc>
        <w:tc>
          <w:tcPr>
            <w:tcW w:w="1177"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高能物</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理研究</w:t>
            </w:r>
          </w:p>
        </w:tc>
        <w:tc>
          <w:tcPr>
            <w:tcW w:w="709"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1,314</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(00)</w:t>
            </w:r>
          </w:p>
        </w:tc>
        <w:tc>
          <w:tcPr>
            <w:tcW w:w="1134"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1.5亿</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美元(00)</w:t>
            </w:r>
          </w:p>
        </w:tc>
        <w:tc>
          <w:tcPr>
            <w:tcW w:w="78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能源部</w:t>
            </w:r>
          </w:p>
        </w:tc>
        <w:tc>
          <w:tcPr>
            <w:tcW w:w="110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斯坦福</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大学</w:t>
            </w:r>
          </w:p>
        </w:tc>
        <w:tc>
          <w:tcPr>
            <w:tcW w:w="2027"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rPr>
                <w:rFonts w:ascii="宋体" w:hAnsi="宋体"/>
                <w:color w:val="000000"/>
                <w:szCs w:val="21"/>
              </w:rPr>
            </w:pPr>
            <w:r>
              <w:rPr>
                <w:rFonts w:ascii="宋体" w:hAnsi="宋体"/>
                <w:color w:val="000000"/>
                <w:szCs w:val="21"/>
              </w:rPr>
              <w:t>高能物理、粒子物理</w:t>
            </w:r>
          </w:p>
        </w:tc>
      </w:tr>
      <w:tr w:rsidR="00CA619C" w:rsidTr="00CA619C">
        <w:trPr>
          <w:trHeight w:val="680"/>
          <w:jc w:val="center"/>
        </w:trPr>
        <w:tc>
          <w:tcPr>
            <w:tcW w:w="1142"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软件工程</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研究所</w:t>
            </w:r>
          </w:p>
        </w:tc>
        <w:tc>
          <w:tcPr>
            <w:tcW w:w="80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1984年</w:t>
            </w:r>
          </w:p>
        </w:tc>
        <w:tc>
          <w:tcPr>
            <w:tcW w:w="1177"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国家软件工程研究</w:t>
            </w:r>
          </w:p>
        </w:tc>
        <w:tc>
          <w:tcPr>
            <w:tcW w:w="709"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323</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(01)</w:t>
            </w:r>
          </w:p>
        </w:tc>
        <w:tc>
          <w:tcPr>
            <w:tcW w:w="1134"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0.5亿</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美元(01)</w:t>
            </w:r>
          </w:p>
        </w:tc>
        <w:tc>
          <w:tcPr>
            <w:tcW w:w="78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国防部</w:t>
            </w:r>
          </w:p>
        </w:tc>
        <w:tc>
          <w:tcPr>
            <w:tcW w:w="110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卡内基</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梅隆大学</w:t>
            </w:r>
          </w:p>
        </w:tc>
        <w:tc>
          <w:tcPr>
            <w:tcW w:w="2027"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rPr>
                <w:rFonts w:ascii="宋体" w:hAnsi="宋体"/>
                <w:color w:val="000000"/>
                <w:szCs w:val="21"/>
              </w:rPr>
            </w:pPr>
            <w:r>
              <w:rPr>
                <w:rFonts w:ascii="宋体" w:hAnsi="宋体"/>
                <w:color w:val="000000"/>
                <w:szCs w:val="21"/>
              </w:rPr>
              <w:t>软件工程</w:t>
            </w:r>
          </w:p>
        </w:tc>
      </w:tr>
      <w:tr w:rsidR="00CA619C" w:rsidTr="00CA619C">
        <w:trPr>
          <w:trHeight w:val="680"/>
          <w:jc w:val="center"/>
        </w:trPr>
        <w:tc>
          <w:tcPr>
            <w:tcW w:w="1142"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等离子体物理实验室</w:t>
            </w:r>
          </w:p>
        </w:tc>
        <w:tc>
          <w:tcPr>
            <w:tcW w:w="80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1951年</w:t>
            </w:r>
          </w:p>
        </w:tc>
        <w:tc>
          <w:tcPr>
            <w:tcW w:w="1177"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核聚变能</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科学研究</w:t>
            </w:r>
          </w:p>
        </w:tc>
        <w:tc>
          <w:tcPr>
            <w:tcW w:w="709"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484</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(02)</w:t>
            </w:r>
          </w:p>
        </w:tc>
        <w:tc>
          <w:tcPr>
            <w:tcW w:w="1134"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0.75亿</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美元(02)</w:t>
            </w:r>
          </w:p>
        </w:tc>
        <w:tc>
          <w:tcPr>
            <w:tcW w:w="78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能源部</w:t>
            </w:r>
          </w:p>
        </w:tc>
        <w:tc>
          <w:tcPr>
            <w:tcW w:w="110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普林斯</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顿大学</w:t>
            </w:r>
          </w:p>
        </w:tc>
        <w:tc>
          <w:tcPr>
            <w:tcW w:w="2027"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rPr>
                <w:rFonts w:ascii="宋体" w:hAnsi="宋体"/>
                <w:color w:val="000000"/>
                <w:szCs w:val="21"/>
              </w:rPr>
            </w:pPr>
            <w:r>
              <w:rPr>
                <w:rFonts w:ascii="宋体" w:hAnsi="宋体"/>
                <w:color w:val="000000"/>
                <w:szCs w:val="21"/>
              </w:rPr>
              <w:t>等离子体物理和聚变科学研究</w:t>
            </w:r>
          </w:p>
        </w:tc>
      </w:tr>
      <w:tr w:rsidR="00CA619C" w:rsidTr="00CA619C">
        <w:trPr>
          <w:trHeight w:val="680"/>
          <w:jc w:val="center"/>
        </w:trPr>
        <w:tc>
          <w:tcPr>
            <w:tcW w:w="1142"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喷气推进</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实验室</w:t>
            </w:r>
          </w:p>
        </w:tc>
        <w:tc>
          <w:tcPr>
            <w:tcW w:w="80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1944年</w:t>
            </w:r>
          </w:p>
        </w:tc>
        <w:tc>
          <w:tcPr>
            <w:tcW w:w="1177"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导弹推进技术研究</w:t>
            </w:r>
          </w:p>
        </w:tc>
        <w:tc>
          <w:tcPr>
            <w:tcW w:w="709"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5,175</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(01)</w:t>
            </w:r>
          </w:p>
        </w:tc>
        <w:tc>
          <w:tcPr>
            <w:tcW w:w="1134"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13亿</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美元(01)</w:t>
            </w:r>
          </w:p>
        </w:tc>
        <w:tc>
          <w:tcPr>
            <w:tcW w:w="78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航空</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航天局</w:t>
            </w:r>
          </w:p>
        </w:tc>
        <w:tc>
          <w:tcPr>
            <w:tcW w:w="110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加州理</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工学院</w:t>
            </w:r>
          </w:p>
        </w:tc>
        <w:tc>
          <w:tcPr>
            <w:tcW w:w="2027"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rPr>
                <w:rFonts w:ascii="宋体" w:hAnsi="宋体"/>
                <w:color w:val="000000"/>
                <w:szCs w:val="21"/>
              </w:rPr>
            </w:pPr>
            <w:r>
              <w:rPr>
                <w:rFonts w:ascii="宋体" w:hAnsi="宋体"/>
                <w:color w:val="000000"/>
                <w:szCs w:val="21"/>
              </w:rPr>
              <w:t>星际探索、地球科学、天体物理、通讯工程等</w:t>
            </w:r>
          </w:p>
        </w:tc>
      </w:tr>
      <w:tr w:rsidR="00CA619C" w:rsidTr="00CA619C">
        <w:trPr>
          <w:trHeight w:val="680"/>
          <w:jc w:val="center"/>
        </w:trPr>
        <w:tc>
          <w:tcPr>
            <w:tcW w:w="1142"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劳伦斯伯克利实验室</w:t>
            </w:r>
          </w:p>
        </w:tc>
        <w:tc>
          <w:tcPr>
            <w:tcW w:w="80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1931年</w:t>
            </w:r>
          </w:p>
        </w:tc>
        <w:tc>
          <w:tcPr>
            <w:tcW w:w="1177"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回旋加速</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器研究</w:t>
            </w:r>
          </w:p>
        </w:tc>
        <w:tc>
          <w:tcPr>
            <w:tcW w:w="709"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2,941</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(02)</w:t>
            </w:r>
          </w:p>
        </w:tc>
        <w:tc>
          <w:tcPr>
            <w:tcW w:w="1134"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4.7亿</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美元(02)</w:t>
            </w:r>
          </w:p>
        </w:tc>
        <w:tc>
          <w:tcPr>
            <w:tcW w:w="78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能源部</w:t>
            </w:r>
          </w:p>
        </w:tc>
        <w:tc>
          <w:tcPr>
            <w:tcW w:w="110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伯克利</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加州大学</w:t>
            </w:r>
          </w:p>
        </w:tc>
        <w:tc>
          <w:tcPr>
            <w:tcW w:w="2027"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rPr>
                <w:rFonts w:ascii="宋体" w:hAnsi="宋体"/>
                <w:color w:val="000000"/>
                <w:szCs w:val="21"/>
              </w:rPr>
            </w:pPr>
            <w:r>
              <w:rPr>
                <w:rFonts w:ascii="宋体" w:hAnsi="宋体"/>
                <w:color w:val="000000"/>
                <w:szCs w:val="21"/>
              </w:rPr>
              <w:t>高级材料、生命科学、能源效率以及加速器的研究</w:t>
            </w:r>
          </w:p>
        </w:tc>
      </w:tr>
      <w:tr w:rsidR="00CA619C" w:rsidTr="00CA619C">
        <w:trPr>
          <w:trHeight w:val="680"/>
          <w:jc w:val="center"/>
        </w:trPr>
        <w:tc>
          <w:tcPr>
            <w:tcW w:w="1142"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洛斯阿拉莫斯实验室</w:t>
            </w:r>
          </w:p>
        </w:tc>
        <w:tc>
          <w:tcPr>
            <w:tcW w:w="80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1943年</w:t>
            </w:r>
          </w:p>
        </w:tc>
        <w:tc>
          <w:tcPr>
            <w:tcW w:w="1177"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核武器研究</w:t>
            </w:r>
          </w:p>
        </w:tc>
        <w:tc>
          <w:tcPr>
            <w:tcW w:w="709"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10,800</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(02)</w:t>
            </w:r>
          </w:p>
        </w:tc>
        <w:tc>
          <w:tcPr>
            <w:tcW w:w="1134"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22亿</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美元(02)</w:t>
            </w:r>
          </w:p>
        </w:tc>
        <w:tc>
          <w:tcPr>
            <w:tcW w:w="78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能源部</w:t>
            </w:r>
          </w:p>
        </w:tc>
        <w:tc>
          <w:tcPr>
            <w:tcW w:w="110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加州</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大学</w:t>
            </w:r>
          </w:p>
        </w:tc>
        <w:tc>
          <w:tcPr>
            <w:tcW w:w="2027"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rPr>
                <w:rFonts w:ascii="宋体" w:hAnsi="宋体"/>
                <w:color w:val="000000"/>
                <w:szCs w:val="21"/>
              </w:rPr>
            </w:pPr>
            <w:r>
              <w:rPr>
                <w:rFonts w:ascii="宋体" w:hAnsi="宋体"/>
                <w:color w:val="000000"/>
                <w:szCs w:val="21"/>
              </w:rPr>
              <w:t>数学和计算机科学、生物学、地球科学</w:t>
            </w:r>
          </w:p>
        </w:tc>
      </w:tr>
      <w:tr w:rsidR="00CA619C" w:rsidTr="00CA619C">
        <w:trPr>
          <w:trHeight w:val="680"/>
          <w:jc w:val="center"/>
        </w:trPr>
        <w:tc>
          <w:tcPr>
            <w:tcW w:w="1142"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阿贡国家</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实验室</w:t>
            </w:r>
          </w:p>
        </w:tc>
        <w:tc>
          <w:tcPr>
            <w:tcW w:w="80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1946年</w:t>
            </w:r>
          </w:p>
        </w:tc>
        <w:tc>
          <w:tcPr>
            <w:tcW w:w="1177"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核武器研究</w:t>
            </w:r>
          </w:p>
        </w:tc>
        <w:tc>
          <w:tcPr>
            <w:tcW w:w="709"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3,526</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(00)</w:t>
            </w:r>
          </w:p>
        </w:tc>
        <w:tc>
          <w:tcPr>
            <w:tcW w:w="1134"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4.7亿</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美元(00)</w:t>
            </w:r>
          </w:p>
        </w:tc>
        <w:tc>
          <w:tcPr>
            <w:tcW w:w="78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能源部</w:t>
            </w:r>
          </w:p>
        </w:tc>
        <w:tc>
          <w:tcPr>
            <w:tcW w:w="1100"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芝加哥</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大学</w:t>
            </w:r>
          </w:p>
        </w:tc>
        <w:tc>
          <w:tcPr>
            <w:tcW w:w="2027" w:type="dxa"/>
            <w:tcBorders>
              <w:top w:val="single" w:sz="6" w:space="0" w:color="auto"/>
              <w:left w:val="single" w:sz="6" w:space="0" w:color="auto"/>
              <w:bottom w:val="single" w:sz="6" w:space="0" w:color="auto"/>
              <w:right w:val="single" w:sz="6" w:space="0" w:color="auto"/>
            </w:tcBorders>
            <w:vAlign w:val="center"/>
          </w:tcPr>
          <w:p w:rsidR="00CA619C" w:rsidRDefault="00CA619C" w:rsidP="00CA619C">
            <w:pPr>
              <w:autoSpaceDE w:val="0"/>
              <w:autoSpaceDN w:val="0"/>
              <w:adjustRightInd w:val="0"/>
              <w:rPr>
                <w:rFonts w:ascii="宋体" w:hAnsi="宋体"/>
                <w:color w:val="000000"/>
                <w:szCs w:val="21"/>
              </w:rPr>
            </w:pPr>
            <w:r>
              <w:rPr>
                <w:rFonts w:ascii="宋体" w:hAnsi="宋体"/>
                <w:color w:val="000000"/>
                <w:szCs w:val="21"/>
              </w:rPr>
              <w:t>医学、生物学、物理学、反应堆分析、应用数学和在核能量中的工程研究与发展</w:t>
            </w:r>
          </w:p>
        </w:tc>
      </w:tr>
      <w:tr w:rsidR="00CA619C" w:rsidTr="00CA619C">
        <w:trPr>
          <w:trHeight w:val="680"/>
          <w:jc w:val="center"/>
        </w:trPr>
        <w:tc>
          <w:tcPr>
            <w:tcW w:w="1142" w:type="dxa"/>
            <w:tcBorders>
              <w:top w:val="single" w:sz="6" w:space="0" w:color="auto"/>
              <w:left w:val="single" w:sz="6" w:space="0" w:color="auto"/>
              <w:bottom w:val="single" w:sz="4"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劳伦斯利弗莫实验室</w:t>
            </w:r>
          </w:p>
        </w:tc>
        <w:tc>
          <w:tcPr>
            <w:tcW w:w="800" w:type="dxa"/>
            <w:tcBorders>
              <w:top w:val="single" w:sz="6" w:space="0" w:color="auto"/>
              <w:left w:val="single" w:sz="6" w:space="0" w:color="auto"/>
              <w:bottom w:val="single" w:sz="4"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1952年</w:t>
            </w:r>
          </w:p>
        </w:tc>
        <w:tc>
          <w:tcPr>
            <w:tcW w:w="1177" w:type="dxa"/>
            <w:tcBorders>
              <w:top w:val="single" w:sz="6" w:space="0" w:color="auto"/>
              <w:left w:val="single" w:sz="6" w:space="0" w:color="auto"/>
              <w:bottom w:val="single" w:sz="4"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核武器研究</w:t>
            </w:r>
          </w:p>
        </w:tc>
        <w:tc>
          <w:tcPr>
            <w:tcW w:w="709" w:type="dxa"/>
            <w:tcBorders>
              <w:top w:val="single" w:sz="6" w:space="0" w:color="auto"/>
              <w:left w:val="single" w:sz="6" w:space="0" w:color="auto"/>
              <w:bottom w:val="single" w:sz="4"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6,347</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(00)</w:t>
            </w:r>
          </w:p>
        </w:tc>
        <w:tc>
          <w:tcPr>
            <w:tcW w:w="1134" w:type="dxa"/>
            <w:tcBorders>
              <w:top w:val="single" w:sz="6" w:space="0" w:color="auto"/>
              <w:left w:val="single" w:sz="6" w:space="0" w:color="auto"/>
              <w:bottom w:val="single" w:sz="4"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13.7亿</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美元(01)</w:t>
            </w:r>
          </w:p>
        </w:tc>
        <w:tc>
          <w:tcPr>
            <w:tcW w:w="780" w:type="dxa"/>
            <w:tcBorders>
              <w:top w:val="single" w:sz="6" w:space="0" w:color="auto"/>
              <w:left w:val="single" w:sz="6" w:space="0" w:color="auto"/>
              <w:bottom w:val="single" w:sz="4"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能源部</w:t>
            </w:r>
          </w:p>
        </w:tc>
        <w:tc>
          <w:tcPr>
            <w:tcW w:w="1100" w:type="dxa"/>
            <w:tcBorders>
              <w:top w:val="single" w:sz="6" w:space="0" w:color="auto"/>
              <w:left w:val="single" w:sz="6" w:space="0" w:color="auto"/>
              <w:bottom w:val="single" w:sz="4"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加州大学</w:t>
            </w:r>
          </w:p>
        </w:tc>
        <w:tc>
          <w:tcPr>
            <w:tcW w:w="2027" w:type="dxa"/>
            <w:tcBorders>
              <w:top w:val="single" w:sz="6" w:space="0" w:color="auto"/>
              <w:left w:val="single" w:sz="6" w:space="0" w:color="auto"/>
              <w:bottom w:val="single" w:sz="4" w:space="0" w:color="auto"/>
              <w:right w:val="single" w:sz="6" w:space="0" w:color="auto"/>
            </w:tcBorders>
            <w:vAlign w:val="center"/>
          </w:tcPr>
          <w:p w:rsidR="00CA619C" w:rsidRDefault="00CA619C" w:rsidP="00CA619C">
            <w:pPr>
              <w:autoSpaceDE w:val="0"/>
              <w:autoSpaceDN w:val="0"/>
              <w:adjustRightInd w:val="0"/>
              <w:rPr>
                <w:rFonts w:ascii="宋体" w:hAnsi="宋体"/>
                <w:color w:val="000000"/>
                <w:szCs w:val="21"/>
              </w:rPr>
            </w:pPr>
            <w:r>
              <w:rPr>
                <w:rFonts w:ascii="宋体" w:hAnsi="宋体"/>
                <w:color w:val="000000"/>
                <w:szCs w:val="21"/>
              </w:rPr>
              <w:t>生命科学与健康保护、能源与环境、国家安全</w:t>
            </w:r>
          </w:p>
        </w:tc>
      </w:tr>
      <w:tr w:rsidR="00CA619C" w:rsidTr="00CA619C">
        <w:trPr>
          <w:trHeight w:val="680"/>
          <w:jc w:val="center"/>
        </w:trPr>
        <w:tc>
          <w:tcPr>
            <w:tcW w:w="1142" w:type="dxa"/>
            <w:tcBorders>
              <w:top w:val="single" w:sz="4" w:space="0" w:color="auto"/>
              <w:left w:val="single" w:sz="6" w:space="0" w:color="auto"/>
              <w:bottom w:val="single" w:sz="4"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林肯实验室</w:t>
            </w:r>
          </w:p>
        </w:tc>
        <w:tc>
          <w:tcPr>
            <w:tcW w:w="800" w:type="dxa"/>
            <w:tcBorders>
              <w:top w:val="single" w:sz="4" w:space="0" w:color="auto"/>
              <w:left w:val="single" w:sz="6" w:space="0" w:color="auto"/>
              <w:bottom w:val="single" w:sz="4"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1951年</w:t>
            </w:r>
          </w:p>
        </w:tc>
        <w:tc>
          <w:tcPr>
            <w:tcW w:w="1177" w:type="dxa"/>
            <w:tcBorders>
              <w:top w:val="single" w:sz="4" w:space="0" w:color="auto"/>
              <w:left w:val="single" w:sz="6" w:space="0" w:color="auto"/>
              <w:bottom w:val="single" w:sz="4"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雷达等</w:t>
            </w:r>
          </w:p>
        </w:tc>
        <w:tc>
          <w:tcPr>
            <w:tcW w:w="709" w:type="dxa"/>
            <w:tcBorders>
              <w:top w:val="single" w:sz="4" w:space="0" w:color="auto"/>
              <w:left w:val="single" w:sz="6" w:space="0" w:color="auto"/>
              <w:bottom w:val="single" w:sz="4"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2245</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(1995)</w:t>
            </w:r>
          </w:p>
        </w:tc>
        <w:tc>
          <w:tcPr>
            <w:tcW w:w="1134" w:type="dxa"/>
            <w:tcBorders>
              <w:top w:val="single" w:sz="4" w:space="0" w:color="auto"/>
              <w:left w:val="single" w:sz="6" w:space="0" w:color="auto"/>
              <w:bottom w:val="single" w:sz="4" w:space="0" w:color="auto"/>
              <w:right w:val="single" w:sz="6" w:space="0" w:color="auto"/>
            </w:tcBorders>
            <w:vAlign w:val="center"/>
          </w:tcPr>
          <w:p w:rsidR="00CA619C" w:rsidRDefault="00CA619C" w:rsidP="00CA619C">
            <w:pPr>
              <w:autoSpaceDE w:val="0"/>
              <w:autoSpaceDN w:val="0"/>
              <w:adjustRightInd w:val="0"/>
              <w:rPr>
                <w:rFonts w:ascii="宋体" w:hAnsi="宋体"/>
                <w:color w:val="000000"/>
                <w:szCs w:val="21"/>
              </w:rPr>
            </w:pPr>
            <w:r>
              <w:rPr>
                <w:rFonts w:ascii="宋体" w:hAnsi="宋体"/>
                <w:color w:val="000000"/>
                <w:szCs w:val="21"/>
              </w:rPr>
              <w:t>3.44亿美元(1995)</w:t>
            </w:r>
          </w:p>
        </w:tc>
        <w:tc>
          <w:tcPr>
            <w:tcW w:w="780" w:type="dxa"/>
            <w:tcBorders>
              <w:top w:val="single" w:sz="4" w:space="0" w:color="auto"/>
              <w:left w:val="single" w:sz="6" w:space="0" w:color="auto"/>
              <w:bottom w:val="single" w:sz="4"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国防部</w:t>
            </w:r>
          </w:p>
        </w:tc>
        <w:tc>
          <w:tcPr>
            <w:tcW w:w="1100" w:type="dxa"/>
            <w:tcBorders>
              <w:top w:val="single" w:sz="4" w:space="0" w:color="auto"/>
              <w:left w:val="single" w:sz="6" w:space="0" w:color="auto"/>
              <w:bottom w:val="single" w:sz="4" w:space="0" w:color="auto"/>
              <w:right w:val="single" w:sz="6" w:space="0" w:color="auto"/>
            </w:tcBorders>
            <w:vAlign w:val="center"/>
          </w:tcPr>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麻省理</w:t>
            </w:r>
          </w:p>
          <w:p w:rsidR="00CA619C" w:rsidRDefault="00CA619C" w:rsidP="00CA619C">
            <w:pPr>
              <w:autoSpaceDE w:val="0"/>
              <w:autoSpaceDN w:val="0"/>
              <w:adjustRightInd w:val="0"/>
              <w:jc w:val="center"/>
              <w:rPr>
                <w:rFonts w:ascii="宋体" w:hAnsi="宋体"/>
                <w:color w:val="000000"/>
                <w:szCs w:val="21"/>
              </w:rPr>
            </w:pPr>
            <w:r>
              <w:rPr>
                <w:rFonts w:ascii="宋体" w:hAnsi="宋体"/>
                <w:color w:val="000000"/>
                <w:szCs w:val="21"/>
              </w:rPr>
              <w:t>工学院</w:t>
            </w:r>
          </w:p>
        </w:tc>
        <w:tc>
          <w:tcPr>
            <w:tcW w:w="2027" w:type="dxa"/>
            <w:tcBorders>
              <w:top w:val="single" w:sz="4" w:space="0" w:color="auto"/>
              <w:left w:val="single" w:sz="6" w:space="0" w:color="auto"/>
              <w:bottom w:val="single" w:sz="4" w:space="0" w:color="auto"/>
              <w:right w:val="single" w:sz="6" w:space="0" w:color="auto"/>
            </w:tcBorders>
            <w:vAlign w:val="center"/>
          </w:tcPr>
          <w:p w:rsidR="00CA619C" w:rsidRDefault="00CA619C" w:rsidP="00CA619C">
            <w:pPr>
              <w:autoSpaceDE w:val="0"/>
              <w:autoSpaceDN w:val="0"/>
              <w:adjustRightInd w:val="0"/>
              <w:rPr>
                <w:rFonts w:ascii="宋体" w:hAnsi="宋体"/>
                <w:color w:val="000000"/>
                <w:szCs w:val="21"/>
              </w:rPr>
            </w:pPr>
            <w:r>
              <w:rPr>
                <w:rFonts w:ascii="宋体" w:hAnsi="宋体"/>
                <w:color w:val="000000"/>
                <w:szCs w:val="21"/>
              </w:rPr>
              <w:t>国防、通讯、民航交通管理</w:t>
            </w:r>
          </w:p>
        </w:tc>
      </w:tr>
    </w:tbl>
    <w:p w:rsidR="00CA619C" w:rsidRDefault="00CA619C" w:rsidP="00CA619C">
      <w:pPr>
        <w:pStyle w:val="a2"/>
        <w:ind w:leftChars="0" w:left="0"/>
        <w:rPr>
          <w:rFonts w:hint="eastAsia"/>
        </w:rPr>
      </w:pPr>
      <w:r>
        <w:rPr>
          <w:rFonts w:hint="eastAsia"/>
        </w:rPr>
        <w:t>（资料来源：赵文华、黄缨、刘念才，《美国在研究型大学中建立国家实验室的启示》，清华大学教育研究，</w:t>
      </w:r>
      <w:r>
        <w:rPr>
          <w:rFonts w:hint="eastAsia"/>
        </w:rPr>
        <w:t>2004</w:t>
      </w:r>
      <w:r>
        <w:rPr>
          <w:rFonts w:hint="eastAsia"/>
        </w:rPr>
        <w:t>。）</w:t>
      </w:r>
    </w:p>
    <w:p w:rsidR="00CA619C" w:rsidRDefault="00CA619C" w:rsidP="00CA619C">
      <w:pPr>
        <w:pStyle w:val="Heading4"/>
        <w:rPr>
          <w:rFonts w:hint="eastAsia"/>
        </w:rPr>
      </w:pPr>
      <w:r>
        <w:rPr>
          <w:rFonts w:hint="eastAsia"/>
        </w:rPr>
        <w:t>公共研发机构的资金来源</w:t>
      </w:r>
    </w:p>
    <w:p w:rsidR="00CA619C" w:rsidRDefault="00CA619C" w:rsidP="00CA619C">
      <w:pPr>
        <w:ind w:firstLine="480"/>
        <w:rPr>
          <w:rFonts w:hint="eastAsia"/>
        </w:rPr>
      </w:pPr>
      <w:r>
        <w:rPr>
          <w:rFonts w:hint="eastAsia"/>
        </w:rPr>
        <w:t>美国公共研发机构主要依靠政府投资，其官员可以是理事会成员</w:t>
      </w:r>
      <w:r>
        <w:t xml:space="preserve">, </w:t>
      </w:r>
      <w:r>
        <w:rPr>
          <w:rFonts w:hint="eastAsia"/>
        </w:rPr>
        <w:t>但研发机构是独立运作的法人。</w:t>
      </w:r>
      <w:r>
        <w:t xml:space="preserve"> </w:t>
      </w:r>
    </w:p>
    <w:p w:rsidR="00CA619C" w:rsidRDefault="00CA619C" w:rsidP="00CA619C">
      <w:pPr>
        <w:ind w:firstLine="480"/>
        <w:rPr>
          <w:rFonts w:hint="eastAsia"/>
        </w:rPr>
      </w:pPr>
      <w:r>
        <w:t>20</w:t>
      </w:r>
      <w:r>
        <w:rPr>
          <w:rFonts w:hint="eastAsia"/>
        </w:rPr>
        <w:t>世纪</w:t>
      </w:r>
      <w:r>
        <w:t>80</w:t>
      </w:r>
      <w:r>
        <w:rPr>
          <w:rFonts w:hint="eastAsia"/>
        </w:rPr>
        <w:t>年代，美国国会通过《国家合作研究法》，对反垄断法进行了修改，鼓励联合研究。同时</w:t>
      </w:r>
      <w:r>
        <w:t xml:space="preserve">, </w:t>
      </w:r>
      <w:r>
        <w:rPr>
          <w:rFonts w:hint="eastAsia"/>
        </w:rPr>
        <w:t>政府还建立了有利于联邦实验室和企业之间合作的机制。《史蒂文森—怀得勒技术创新法》、《联邦技术转移法》、《国防部</w:t>
      </w:r>
      <w:r>
        <w:t xml:space="preserve">1990 </w:t>
      </w:r>
      <w:r>
        <w:rPr>
          <w:rFonts w:hint="eastAsia"/>
        </w:rPr>
        <w:t>年财政授权法案》为联邦研究机构向私营部门转移技术提供了法律依据，同时也对联邦实验室人员积极进行技术转移予以激励。转移是双向的，通过与产业界的联合，联邦机构的科研人员也获得了许多有用的信息和技术。</w:t>
      </w:r>
    </w:p>
    <w:p w:rsidR="00CA619C" w:rsidRDefault="00CA619C" w:rsidP="00CA619C">
      <w:pPr>
        <w:ind w:firstLine="480"/>
        <w:rPr>
          <w:rFonts w:hint="eastAsia"/>
        </w:rPr>
      </w:pPr>
      <w:r>
        <w:rPr>
          <w:rFonts w:hint="eastAsia"/>
        </w:rPr>
        <w:t>许多公共研究机构在大学设有自己的分支机构。美国很多一流的研究型大学都为政府代管国家实验室，这些设在大学里的国家实验室作为原始性创新基地，在国家基础研究、技术开发和科技攻关中承担着重要使命。</w:t>
      </w:r>
    </w:p>
    <w:p w:rsidR="00CA619C" w:rsidRDefault="00CA619C" w:rsidP="00CA619C">
      <w:pPr>
        <w:pStyle w:val="Heading3"/>
        <w:numPr>
          <w:ilvl w:val="2"/>
          <w:numId w:val="1"/>
        </w:numPr>
        <w:tabs>
          <w:tab w:val="clear" w:pos="720"/>
        </w:tabs>
        <w:rPr>
          <w:rFonts w:hint="eastAsia"/>
        </w:rPr>
      </w:pPr>
      <w:bookmarkStart w:id="86" w:name="_Toc392853126"/>
      <w:r>
        <w:rPr>
          <w:rFonts w:hint="eastAsia"/>
        </w:rPr>
        <w:t>高等院校系统</w:t>
      </w:r>
      <w:bookmarkEnd w:id="86"/>
    </w:p>
    <w:p w:rsidR="00CA619C" w:rsidRDefault="00CA619C" w:rsidP="00CA619C">
      <w:pPr>
        <w:pStyle w:val="1"/>
        <w:spacing w:beforeLines="50" w:before="156" w:after="0"/>
        <w:ind w:left="0" w:firstLine="480"/>
        <w:rPr>
          <w:rFonts w:ascii="宋体" w:hAnsi="宋体" w:cs="宋体" w:hint="eastAsia"/>
          <w:lang w:eastAsia="zh-CN"/>
        </w:rPr>
      </w:pPr>
      <w:r>
        <w:rPr>
          <w:rFonts w:hint="eastAsia"/>
          <w:lang w:eastAsia="zh-CN"/>
        </w:rPr>
        <w:t>高等院校系统（</w:t>
      </w:r>
      <w:r>
        <w:rPr>
          <w:rFonts w:ascii="宋体" w:hAnsi="宋体" w:cs="宋体"/>
          <w:lang w:eastAsia="zh-CN"/>
        </w:rPr>
        <w:t>大学</w:t>
      </w:r>
      <w:r>
        <w:rPr>
          <w:rFonts w:ascii="宋体" w:hAnsi="宋体" w:cs="宋体" w:hint="eastAsia"/>
          <w:lang w:eastAsia="zh-CN"/>
        </w:rPr>
        <w:t>）</w:t>
      </w:r>
      <w:r>
        <w:rPr>
          <w:rFonts w:ascii="宋体" w:hAnsi="宋体" w:cs="宋体"/>
          <w:lang w:eastAsia="zh-CN"/>
        </w:rPr>
        <w:t>是美国从事基础研究的主要基地。在全美3000多所高等院校中，拥有研究生院的综合大学有300多所，其中麻省理工学院、斯坦福大学、哈佛大学、普林斯顿大学、康奈尔大学、加州大学伯克利分校、加州理工学院等研究型大学更是科学研究的佼佼者。</w:t>
      </w:r>
    </w:p>
    <w:p w:rsidR="00CA619C" w:rsidRDefault="00CA619C" w:rsidP="00CA619C">
      <w:pPr>
        <w:pStyle w:val="1"/>
        <w:spacing w:beforeLines="50" w:before="156" w:after="0"/>
        <w:ind w:left="0" w:firstLine="480"/>
        <w:rPr>
          <w:rFonts w:hint="eastAsia"/>
          <w:lang w:eastAsia="zh-CN"/>
        </w:rPr>
      </w:pPr>
      <w:r>
        <w:rPr>
          <w:rFonts w:ascii="宋体" w:hAnsi="宋体" w:cs="宋体"/>
          <w:lang w:eastAsia="zh-CN"/>
        </w:rPr>
        <w:t>由于美国高等教育和研究的经费来源分散，各大学为争取教员、学生和研究基金充满了竞争，同时也形成大学与企业紧密联系的传统。</w:t>
      </w:r>
      <w:r>
        <w:rPr>
          <w:rFonts w:hint="eastAsia"/>
          <w:lang w:eastAsia="zh-CN"/>
        </w:rPr>
        <w:t>值得一提的是，在美国，高等院校系统与公共研发机构</w:t>
      </w:r>
      <w:r>
        <w:rPr>
          <w:lang w:eastAsia="zh-CN"/>
        </w:rPr>
        <w:t>还有一个重要职能是为</w:t>
      </w:r>
      <w:r>
        <w:rPr>
          <w:rFonts w:hint="eastAsia"/>
          <w:lang w:eastAsia="zh-CN"/>
        </w:rPr>
        <w:t>能源产业技术创新</w:t>
      </w:r>
      <w:r>
        <w:rPr>
          <w:lang w:eastAsia="zh-CN"/>
        </w:rPr>
        <w:t>提供大量有技术素养的人才，并促进公用</w:t>
      </w:r>
      <w:r>
        <w:rPr>
          <w:rFonts w:hint="eastAsia"/>
          <w:lang w:eastAsia="zh-CN"/>
        </w:rPr>
        <w:t>的基础</w:t>
      </w:r>
      <w:r>
        <w:rPr>
          <w:lang w:eastAsia="zh-CN"/>
        </w:rPr>
        <w:t>知识的扩散。从这个角度来说，没有高水平的公共研发</w:t>
      </w:r>
      <w:r>
        <w:rPr>
          <w:rFonts w:hint="eastAsia"/>
          <w:lang w:eastAsia="zh-CN"/>
        </w:rPr>
        <w:t>机构</w:t>
      </w:r>
      <w:r>
        <w:rPr>
          <w:lang w:eastAsia="zh-CN"/>
        </w:rPr>
        <w:t>就没有高水平的</w:t>
      </w:r>
      <w:r>
        <w:rPr>
          <w:rFonts w:hint="eastAsia"/>
          <w:lang w:eastAsia="zh-CN"/>
        </w:rPr>
        <w:t>能源产业技术创新</w:t>
      </w:r>
      <w:r>
        <w:rPr>
          <w:lang w:eastAsia="zh-CN"/>
        </w:rPr>
        <w:t>人才队伍。因此，强健的公共研发</w:t>
      </w:r>
      <w:r>
        <w:rPr>
          <w:rFonts w:hint="eastAsia"/>
          <w:lang w:eastAsia="zh-CN"/>
        </w:rPr>
        <w:t>机构</w:t>
      </w:r>
      <w:r>
        <w:rPr>
          <w:lang w:eastAsia="zh-CN"/>
        </w:rPr>
        <w:t>是以市场为主导的创新兴</w:t>
      </w:r>
      <w:r>
        <w:rPr>
          <w:rFonts w:hint="eastAsia"/>
          <w:lang w:eastAsia="zh-CN"/>
        </w:rPr>
        <w:t>能源产业寻求技术进步与突破的</w:t>
      </w:r>
      <w:r>
        <w:rPr>
          <w:lang w:eastAsia="zh-CN"/>
        </w:rPr>
        <w:t>重要基石。</w:t>
      </w:r>
    </w:p>
    <w:p w:rsidR="00CA619C" w:rsidRDefault="00CA619C" w:rsidP="00CA619C">
      <w:pPr>
        <w:pStyle w:val="1"/>
        <w:spacing w:beforeLines="50" w:before="156" w:after="0"/>
        <w:ind w:left="0" w:firstLine="519"/>
        <w:rPr>
          <w:lang w:eastAsia="zh-CN"/>
        </w:rPr>
      </w:pPr>
      <w:r>
        <w:rPr>
          <w:rFonts w:hint="eastAsia"/>
          <w:b/>
          <w:lang w:eastAsia="zh-CN"/>
        </w:rPr>
        <w:t>以储能产业为例，美国的高端院校及其实验室在推动储能技术的材料突破，设计优化，瓶颈突破方面发挥着巨大的推动作用。</w:t>
      </w:r>
      <w:r>
        <w:rPr>
          <w:rFonts w:hint="eastAsia"/>
          <w:lang w:eastAsia="zh-CN"/>
        </w:rPr>
        <w:t>如</w:t>
      </w:r>
      <w:r>
        <w:rPr>
          <w:lang w:eastAsia="zh-CN"/>
        </w:rPr>
        <w:t>ARPA-e</w:t>
      </w:r>
      <w:r>
        <w:rPr>
          <w:rFonts w:hint="eastAsia"/>
          <w:lang w:eastAsia="zh-CN"/>
        </w:rPr>
        <w:t>资助的铁</w:t>
      </w:r>
      <w:r>
        <w:rPr>
          <w:lang w:eastAsia="zh-CN"/>
        </w:rPr>
        <w:t>-</w:t>
      </w:r>
      <w:r>
        <w:rPr>
          <w:rFonts w:hint="eastAsia"/>
          <w:lang w:eastAsia="zh-CN"/>
        </w:rPr>
        <w:t>空气技术在南加州大学取得巨大进展，使得电池能量损失从</w:t>
      </w:r>
      <w:r>
        <w:rPr>
          <w:lang w:eastAsia="zh-CN"/>
        </w:rPr>
        <w:t>50%</w:t>
      </w:r>
      <w:r>
        <w:rPr>
          <w:rFonts w:hint="eastAsia"/>
          <w:lang w:eastAsia="zh-CN"/>
        </w:rPr>
        <w:t>降低到</w:t>
      </w:r>
      <w:r>
        <w:rPr>
          <w:lang w:eastAsia="zh-CN"/>
        </w:rPr>
        <w:t>4%</w:t>
      </w:r>
      <w:r>
        <w:rPr>
          <w:rFonts w:hint="eastAsia"/>
          <w:lang w:eastAsia="zh-CN"/>
        </w:rPr>
        <w:t>，电池成本有望降低到</w:t>
      </w:r>
      <w:r>
        <w:rPr>
          <w:lang w:eastAsia="zh-CN"/>
        </w:rPr>
        <w:t>100</w:t>
      </w:r>
      <w:r>
        <w:rPr>
          <w:rFonts w:hint="eastAsia"/>
          <w:lang w:eastAsia="zh-CN"/>
        </w:rPr>
        <w:t>美元</w:t>
      </w:r>
      <w:r>
        <w:rPr>
          <w:lang w:eastAsia="zh-CN"/>
        </w:rPr>
        <w:t>/kWh</w:t>
      </w:r>
      <w:r>
        <w:rPr>
          <w:rFonts w:hint="eastAsia"/>
          <w:lang w:eastAsia="zh-CN"/>
        </w:rPr>
        <w:t>，电池目标循环寿命有望达到</w:t>
      </w:r>
      <w:r>
        <w:rPr>
          <w:lang w:eastAsia="zh-CN"/>
        </w:rPr>
        <w:t>5000</w:t>
      </w:r>
      <w:r>
        <w:rPr>
          <w:rFonts w:hint="eastAsia"/>
          <w:lang w:eastAsia="zh-CN"/>
        </w:rPr>
        <w:t>次。纽约城市大学能源研究所开发出一种安全无毒可靠并快速充放电的高能量密度的新型镍锌液流电池，并在该校教学楼中安装了</w:t>
      </w:r>
      <w:r>
        <w:rPr>
          <w:lang w:eastAsia="zh-CN"/>
        </w:rPr>
        <w:t>36</w:t>
      </w:r>
      <w:r>
        <w:rPr>
          <w:rFonts w:hint="eastAsia"/>
          <w:lang w:eastAsia="zh-CN"/>
        </w:rPr>
        <w:t>个</w:t>
      </w:r>
      <w:r>
        <w:rPr>
          <w:lang w:eastAsia="zh-CN"/>
        </w:rPr>
        <w:t>1KWh</w:t>
      </w:r>
      <w:r>
        <w:rPr>
          <w:rFonts w:hint="eastAsia"/>
          <w:lang w:eastAsia="zh-CN"/>
        </w:rPr>
        <w:t>的这样的电池，用于电价管理。为了推动其商业化，还计划设立公司将该产品推向市场。</w:t>
      </w:r>
    </w:p>
    <w:p w:rsidR="00CA619C" w:rsidRDefault="00CA619C" w:rsidP="00CA619C">
      <w:pPr>
        <w:pStyle w:val="a"/>
      </w:pPr>
      <w:bookmarkStart w:id="87" w:name="_Toc170"/>
      <w:bookmarkStart w:id="88" w:name="_Toc14349"/>
      <w:bookmarkStart w:id="89" w:name="_Toc392853326"/>
      <w:r>
        <w:rPr>
          <w:rFonts w:hint="eastAsia"/>
        </w:rPr>
        <w:t>美国部分院校</w:t>
      </w:r>
      <w:r>
        <w:t>/</w:t>
      </w:r>
      <w:r>
        <w:rPr>
          <w:rFonts w:hint="eastAsia"/>
        </w:rPr>
        <w:t>研究机构进行的储能技术创新</w:t>
      </w:r>
      <w:bookmarkEnd w:id="87"/>
      <w:bookmarkEnd w:id="88"/>
      <w:bookmarkEnd w:id="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4"/>
        <w:gridCol w:w="5194"/>
        <w:gridCol w:w="2738"/>
      </w:tblGrid>
      <w:tr w:rsidR="00CA619C" w:rsidTr="00CA619C">
        <w:trPr>
          <w:jc w:val="center"/>
        </w:trPr>
        <w:tc>
          <w:tcPr>
            <w:tcW w:w="779" w:type="pct"/>
            <w:tcBorders>
              <w:top w:val="single" w:sz="4" w:space="0" w:color="auto"/>
              <w:left w:val="single" w:sz="4" w:space="0" w:color="auto"/>
              <w:bottom w:val="single" w:sz="4" w:space="0" w:color="auto"/>
              <w:right w:val="single" w:sz="4" w:space="0" w:color="auto"/>
            </w:tcBorders>
            <w:vAlign w:val="center"/>
          </w:tcPr>
          <w:p w:rsidR="00CA619C" w:rsidRDefault="00CA619C" w:rsidP="00CA619C">
            <w:pPr>
              <w:spacing w:afterLines="50" w:after="156"/>
              <w:rPr>
                <w:rFonts w:ascii="Calibri" w:hAnsi="Calibri"/>
                <w:b/>
                <w:bCs/>
                <w:szCs w:val="21"/>
              </w:rPr>
            </w:pPr>
            <w:r>
              <w:rPr>
                <w:rFonts w:ascii="Calibri" w:hAnsi="Calibri" w:hint="eastAsia"/>
                <w:b/>
                <w:bCs/>
                <w:szCs w:val="21"/>
              </w:rPr>
              <w:t>大学</w:t>
            </w:r>
            <w:r>
              <w:rPr>
                <w:rFonts w:ascii="Calibri" w:hAnsi="Calibri"/>
                <w:b/>
                <w:bCs/>
                <w:szCs w:val="21"/>
              </w:rPr>
              <w:t>/</w:t>
            </w:r>
            <w:r>
              <w:rPr>
                <w:rFonts w:ascii="Calibri" w:hAnsi="Calibri" w:hint="eastAsia"/>
                <w:b/>
                <w:bCs/>
                <w:szCs w:val="21"/>
              </w:rPr>
              <w:t>研究机构</w:t>
            </w:r>
          </w:p>
        </w:tc>
        <w:tc>
          <w:tcPr>
            <w:tcW w:w="2763" w:type="pct"/>
            <w:tcBorders>
              <w:top w:val="single" w:sz="4" w:space="0" w:color="auto"/>
              <w:left w:val="single" w:sz="4" w:space="0" w:color="auto"/>
              <w:bottom w:val="single" w:sz="4" w:space="0" w:color="auto"/>
              <w:right w:val="single" w:sz="4" w:space="0" w:color="auto"/>
            </w:tcBorders>
            <w:vAlign w:val="center"/>
          </w:tcPr>
          <w:p w:rsidR="00CA619C" w:rsidRDefault="00CA619C" w:rsidP="00CA619C">
            <w:pPr>
              <w:spacing w:afterLines="50" w:after="156"/>
              <w:rPr>
                <w:rFonts w:ascii="Calibri" w:hAnsi="Calibri"/>
                <w:b/>
                <w:bCs/>
                <w:szCs w:val="21"/>
              </w:rPr>
            </w:pPr>
            <w:r>
              <w:rPr>
                <w:rFonts w:ascii="Calibri" w:hAnsi="Calibri" w:hint="eastAsia"/>
                <w:b/>
                <w:bCs/>
                <w:szCs w:val="21"/>
              </w:rPr>
              <w:t>研究突破</w:t>
            </w:r>
            <w:r>
              <w:rPr>
                <w:rFonts w:ascii="Calibri" w:hAnsi="Calibri"/>
                <w:b/>
                <w:bCs/>
                <w:szCs w:val="21"/>
              </w:rPr>
              <w:t>/</w:t>
            </w:r>
            <w:r>
              <w:rPr>
                <w:rFonts w:ascii="Calibri" w:hAnsi="Calibri" w:hint="eastAsia"/>
                <w:b/>
                <w:bCs/>
                <w:szCs w:val="21"/>
              </w:rPr>
              <w:t>相关举措</w:t>
            </w:r>
          </w:p>
        </w:tc>
        <w:tc>
          <w:tcPr>
            <w:tcW w:w="1457" w:type="pct"/>
            <w:tcBorders>
              <w:top w:val="single" w:sz="4" w:space="0" w:color="auto"/>
              <w:left w:val="single" w:sz="4" w:space="0" w:color="auto"/>
              <w:bottom w:val="single" w:sz="4" w:space="0" w:color="auto"/>
              <w:right w:val="single" w:sz="4" w:space="0" w:color="auto"/>
            </w:tcBorders>
            <w:vAlign w:val="center"/>
          </w:tcPr>
          <w:p w:rsidR="00CA619C" w:rsidRDefault="00CA619C" w:rsidP="00CA619C">
            <w:pPr>
              <w:spacing w:afterLines="50" w:after="156"/>
              <w:rPr>
                <w:rFonts w:ascii="Calibri" w:hAnsi="Calibri"/>
                <w:b/>
                <w:bCs/>
                <w:szCs w:val="21"/>
              </w:rPr>
            </w:pPr>
            <w:r>
              <w:rPr>
                <w:rFonts w:ascii="Calibri" w:hAnsi="Calibri" w:hint="eastAsia"/>
                <w:b/>
                <w:bCs/>
                <w:szCs w:val="21"/>
              </w:rPr>
              <w:t>意义</w:t>
            </w:r>
            <w:r>
              <w:rPr>
                <w:rFonts w:ascii="Calibri" w:hAnsi="Calibri"/>
                <w:b/>
                <w:bCs/>
                <w:szCs w:val="21"/>
              </w:rPr>
              <w:t>/</w:t>
            </w:r>
            <w:r>
              <w:rPr>
                <w:rFonts w:ascii="Calibri" w:hAnsi="Calibri" w:hint="eastAsia"/>
                <w:b/>
                <w:bCs/>
                <w:szCs w:val="21"/>
              </w:rPr>
              <w:t>资金支持来源</w:t>
            </w:r>
          </w:p>
        </w:tc>
      </w:tr>
      <w:tr w:rsidR="00CA619C" w:rsidTr="00CA619C">
        <w:trPr>
          <w:jc w:val="center"/>
        </w:trPr>
        <w:tc>
          <w:tcPr>
            <w:tcW w:w="779" w:type="pct"/>
            <w:tcBorders>
              <w:top w:val="single" w:sz="4" w:space="0" w:color="auto"/>
              <w:left w:val="single" w:sz="4" w:space="0" w:color="auto"/>
              <w:bottom w:val="single" w:sz="4" w:space="0" w:color="auto"/>
              <w:right w:val="single" w:sz="4" w:space="0" w:color="auto"/>
            </w:tcBorders>
            <w:vAlign w:val="center"/>
          </w:tcPr>
          <w:p w:rsidR="00CA619C" w:rsidRDefault="00CA619C" w:rsidP="00CA619C">
            <w:pPr>
              <w:spacing w:afterLines="50" w:after="156"/>
              <w:rPr>
                <w:rFonts w:ascii="Calibri" w:hAnsi="Calibri"/>
                <w:szCs w:val="21"/>
              </w:rPr>
            </w:pPr>
            <w:r>
              <w:rPr>
                <w:rFonts w:ascii="Calibri" w:hAnsi="Calibri" w:hint="eastAsia"/>
                <w:szCs w:val="21"/>
              </w:rPr>
              <w:t>西弗吉尼亚大学</w:t>
            </w:r>
          </w:p>
        </w:tc>
        <w:tc>
          <w:tcPr>
            <w:tcW w:w="2763" w:type="pct"/>
            <w:tcBorders>
              <w:top w:val="single" w:sz="4" w:space="0" w:color="auto"/>
              <w:left w:val="single" w:sz="4" w:space="0" w:color="auto"/>
              <w:bottom w:val="single" w:sz="4" w:space="0" w:color="auto"/>
              <w:right w:val="single" w:sz="4" w:space="0" w:color="auto"/>
            </w:tcBorders>
            <w:vAlign w:val="center"/>
          </w:tcPr>
          <w:p w:rsidR="00CA619C" w:rsidRDefault="00CA619C" w:rsidP="00CA619C">
            <w:pPr>
              <w:spacing w:afterLines="50" w:after="156"/>
              <w:rPr>
                <w:rFonts w:ascii="Calibri" w:hAnsi="Calibri"/>
                <w:szCs w:val="21"/>
              </w:rPr>
            </w:pPr>
            <w:r>
              <w:rPr>
                <w:rFonts w:ascii="Calibri" w:hAnsi="Calibri" w:hint="eastAsia"/>
                <w:szCs w:val="21"/>
              </w:rPr>
              <w:t>成立电化学储能技术与应用研究中心，开发低成本、低温的钠玻璃复合电解质，用于公用事业规模的电池存储</w:t>
            </w:r>
          </w:p>
        </w:tc>
        <w:tc>
          <w:tcPr>
            <w:tcW w:w="1457" w:type="pct"/>
            <w:tcBorders>
              <w:top w:val="single" w:sz="4" w:space="0" w:color="auto"/>
              <w:left w:val="single" w:sz="4" w:space="0" w:color="auto"/>
              <w:bottom w:val="single" w:sz="4" w:space="0" w:color="auto"/>
              <w:right w:val="single" w:sz="4" w:space="0" w:color="auto"/>
            </w:tcBorders>
            <w:vAlign w:val="center"/>
          </w:tcPr>
          <w:p w:rsidR="00CA619C" w:rsidRDefault="00CA619C" w:rsidP="00CA619C">
            <w:pPr>
              <w:spacing w:afterLines="50" w:after="156"/>
              <w:rPr>
                <w:rFonts w:ascii="Calibri" w:hAnsi="Calibri"/>
                <w:szCs w:val="21"/>
              </w:rPr>
            </w:pPr>
            <w:r>
              <w:rPr>
                <w:rFonts w:ascii="Calibri" w:hAnsi="Calibri" w:hint="eastAsia"/>
                <w:szCs w:val="21"/>
              </w:rPr>
              <w:t>研究中心的建立获得了</w:t>
            </w:r>
            <w:r>
              <w:rPr>
                <w:rFonts w:ascii="Calibri" w:hAnsi="Calibri"/>
                <w:szCs w:val="21"/>
              </w:rPr>
              <w:t>130</w:t>
            </w:r>
            <w:r>
              <w:rPr>
                <w:rFonts w:ascii="Calibri" w:hAnsi="Calibri" w:hint="eastAsia"/>
                <w:szCs w:val="21"/>
              </w:rPr>
              <w:t>万美元的资金支持</w:t>
            </w:r>
          </w:p>
        </w:tc>
      </w:tr>
      <w:tr w:rsidR="00CA619C" w:rsidTr="00CA619C">
        <w:trPr>
          <w:jc w:val="center"/>
        </w:trPr>
        <w:tc>
          <w:tcPr>
            <w:tcW w:w="779" w:type="pct"/>
            <w:tcBorders>
              <w:top w:val="single" w:sz="4" w:space="0" w:color="auto"/>
              <w:left w:val="single" w:sz="4" w:space="0" w:color="auto"/>
              <w:bottom w:val="single" w:sz="4" w:space="0" w:color="auto"/>
              <w:right w:val="single" w:sz="4" w:space="0" w:color="auto"/>
            </w:tcBorders>
            <w:vAlign w:val="center"/>
          </w:tcPr>
          <w:p w:rsidR="00CA619C" w:rsidRDefault="00CA619C" w:rsidP="00CA619C">
            <w:pPr>
              <w:spacing w:afterLines="50" w:after="156"/>
              <w:rPr>
                <w:rFonts w:ascii="Calibri" w:hAnsi="Calibri"/>
                <w:szCs w:val="21"/>
              </w:rPr>
            </w:pPr>
            <w:r>
              <w:rPr>
                <w:rFonts w:ascii="Calibri" w:hAnsi="Calibri" w:hint="eastAsia"/>
                <w:szCs w:val="21"/>
              </w:rPr>
              <w:t>美国克莱姆森大学</w:t>
            </w:r>
          </w:p>
        </w:tc>
        <w:tc>
          <w:tcPr>
            <w:tcW w:w="2763" w:type="pct"/>
            <w:tcBorders>
              <w:top w:val="single" w:sz="4" w:space="0" w:color="auto"/>
              <w:left w:val="single" w:sz="4" w:space="0" w:color="auto"/>
              <w:bottom w:val="single" w:sz="4" w:space="0" w:color="auto"/>
              <w:right w:val="single" w:sz="4" w:space="0" w:color="auto"/>
            </w:tcBorders>
            <w:vAlign w:val="center"/>
          </w:tcPr>
          <w:p w:rsidR="00CA619C" w:rsidRDefault="00CA619C" w:rsidP="00CA619C">
            <w:pPr>
              <w:spacing w:afterLines="50" w:after="156"/>
              <w:rPr>
                <w:rFonts w:ascii="Calibri" w:hAnsi="Calibri"/>
                <w:szCs w:val="21"/>
              </w:rPr>
            </w:pPr>
            <w:r>
              <w:rPr>
                <w:rFonts w:ascii="Calibri" w:hAnsi="Calibri" w:hint="eastAsia"/>
                <w:bCs/>
                <w:szCs w:val="21"/>
              </w:rPr>
              <w:t>研究碳纳米材料在储能中的应用，</w:t>
            </w:r>
            <w:r>
              <w:rPr>
                <w:rFonts w:ascii="Calibri" w:hAnsi="Calibri" w:hint="eastAsia"/>
                <w:szCs w:val="21"/>
              </w:rPr>
              <w:t>利用碳纳米材料的分子链来提高储能容量</w:t>
            </w:r>
          </w:p>
        </w:tc>
        <w:tc>
          <w:tcPr>
            <w:tcW w:w="1457" w:type="pct"/>
            <w:tcBorders>
              <w:top w:val="single" w:sz="4" w:space="0" w:color="auto"/>
              <w:left w:val="single" w:sz="4" w:space="0" w:color="auto"/>
              <w:bottom w:val="single" w:sz="4" w:space="0" w:color="auto"/>
              <w:right w:val="single" w:sz="4" w:space="0" w:color="auto"/>
            </w:tcBorders>
            <w:vAlign w:val="center"/>
          </w:tcPr>
          <w:p w:rsidR="00CA619C" w:rsidRDefault="00CA619C" w:rsidP="00CA619C">
            <w:pPr>
              <w:spacing w:afterLines="50" w:after="156"/>
              <w:rPr>
                <w:rFonts w:ascii="Calibri" w:hAnsi="Calibri"/>
                <w:szCs w:val="21"/>
              </w:rPr>
            </w:pPr>
            <w:r>
              <w:rPr>
                <w:rFonts w:ascii="Calibri" w:hAnsi="Calibri" w:hint="eastAsia"/>
                <w:szCs w:val="21"/>
              </w:rPr>
              <w:t>获得国家科学基金</w:t>
            </w:r>
            <w:r>
              <w:rPr>
                <w:rFonts w:ascii="Calibri" w:hAnsi="Calibri"/>
                <w:szCs w:val="21"/>
              </w:rPr>
              <w:t>1200</w:t>
            </w:r>
            <w:r>
              <w:rPr>
                <w:rFonts w:ascii="Calibri" w:hAnsi="Calibri" w:hint="eastAsia"/>
                <w:szCs w:val="21"/>
              </w:rPr>
              <w:t>万美元的资金支持</w:t>
            </w:r>
          </w:p>
        </w:tc>
      </w:tr>
      <w:tr w:rsidR="00CA619C" w:rsidTr="00CA619C">
        <w:trPr>
          <w:jc w:val="center"/>
        </w:trPr>
        <w:tc>
          <w:tcPr>
            <w:tcW w:w="779" w:type="pct"/>
            <w:tcBorders>
              <w:top w:val="single" w:sz="4" w:space="0" w:color="auto"/>
              <w:left w:val="single" w:sz="4" w:space="0" w:color="auto"/>
              <w:bottom w:val="single" w:sz="4" w:space="0" w:color="auto"/>
              <w:right w:val="single" w:sz="4" w:space="0" w:color="auto"/>
            </w:tcBorders>
            <w:vAlign w:val="center"/>
          </w:tcPr>
          <w:p w:rsidR="00CA619C" w:rsidRDefault="00CA619C" w:rsidP="00CA619C">
            <w:pPr>
              <w:spacing w:afterLines="50" w:after="156"/>
              <w:rPr>
                <w:rFonts w:ascii="Calibri" w:hAnsi="Calibri"/>
                <w:szCs w:val="21"/>
              </w:rPr>
            </w:pPr>
            <w:r>
              <w:rPr>
                <w:rFonts w:ascii="Calibri" w:hAnsi="Calibri" w:hint="eastAsia"/>
                <w:szCs w:val="21"/>
              </w:rPr>
              <w:t>美国加州大学</w:t>
            </w:r>
          </w:p>
        </w:tc>
        <w:tc>
          <w:tcPr>
            <w:tcW w:w="2763" w:type="pct"/>
            <w:tcBorders>
              <w:top w:val="single" w:sz="4" w:space="0" w:color="auto"/>
              <w:left w:val="single" w:sz="4" w:space="0" w:color="auto"/>
              <w:bottom w:val="single" w:sz="4" w:space="0" w:color="auto"/>
              <w:right w:val="single" w:sz="4" w:space="0" w:color="auto"/>
            </w:tcBorders>
            <w:vAlign w:val="center"/>
          </w:tcPr>
          <w:p w:rsidR="00CA619C" w:rsidRDefault="00CA619C" w:rsidP="00CA619C">
            <w:pPr>
              <w:spacing w:afterLines="50" w:after="156"/>
              <w:rPr>
                <w:rFonts w:ascii="Calibri" w:hAnsi="Calibri"/>
                <w:szCs w:val="21"/>
              </w:rPr>
            </w:pPr>
            <w:r>
              <w:rPr>
                <w:rFonts w:ascii="Calibri" w:hAnsi="Calibri" w:hint="eastAsia"/>
                <w:bCs/>
                <w:szCs w:val="21"/>
              </w:rPr>
              <w:t>设计新算法，降低锂离子电池的体积与成本</w:t>
            </w:r>
          </w:p>
        </w:tc>
        <w:tc>
          <w:tcPr>
            <w:tcW w:w="1457" w:type="pct"/>
            <w:tcBorders>
              <w:top w:val="single" w:sz="4" w:space="0" w:color="auto"/>
              <w:left w:val="single" w:sz="4" w:space="0" w:color="auto"/>
              <w:bottom w:val="single" w:sz="4" w:space="0" w:color="auto"/>
              <w:right w:val="single" w:sz="4" w:space="0" w:color="auto"/>
            </w:tcBorders>
            <w:vAlign w:val="center"/>
          </w:tcPr>
          <w:p w:rsidR="00CA619C" w:rsidRDefault="00CA619C" w:rsidP="00CA619C">
            <w:pPr>
              <w:spacing w:afterLines="50" w:after="156"/>
              <w:rPr>
                <w:rFonts w:ascii="Calibri" w:hAnsi="Calibri"/>
                <w:szCs w:val="21"/>
              </w:rPr>
            </w:pPr>
            <w:r>
              <w:rPr>
                <w:rFonts w:ascii="Calibri" w:hAnsi="Calibri" w:hint="eastAsia"/>
                <w:szCs w:val="21"/>
              </w:rPr>
              <w:t>美国能源部将提供</w:t>
            </w:r>
            <w:r>
              <w:rPr>
                <w:rFonts w:ascii="Calibri" w:hAnsi="Calibri"/>
                <w:bCs/>
                <w:szCs w:val="21"/>
              </w:rPr>
              <w:t>4</w:t>
            </w:r>
            <w:r>
              <w:rPr>
                <w:rFonts w:ascii="Calibri" w:hAnsi="Calibri" w:hint="eastAsia"/>
                <w:bCs/>
                <w:szCs w:val="21"/>
              </w:rPr>
              <w:t>百万美金</w:t>
            </w:r>
            <w:r>
              <w:rPr>
                <w:rFonts w:ascii="Calibri" w:hAnsi="Calibri" w:hint="eastAsia"/>
                <w:szCs w:val="21"/>
              </w:rPr>
              <w:t>的奖励支持这项工程</w:t>
            </w:r>
          </w:p>
        </w:tc>
      </w:tr>
      <w:tr w:rsidR="00CA619C" w:rsidTr="00CA619C">
        <w:trPr>
          <w:jc w:val="center"/>
        </w:trPr>
        <w:tc>
          <w:tcPr>
            <w:tcW w:w="779" w:type="pct"/>
            <w:tcBorders>
              <w:top w:val="single" w:sz="4" w:space="0" w:color="auto"/>
              <w:left w:val="single" w:sz="4" w:space="0" w:color="auto"/>
              <w:bottom w:val="single" w:sz="4" w:space="0" w:color="auto"/>
              <w:right w:val="single" w:sz="4" w:space="0" w:color="auto"/>
            </w:tcBorders>
            <w:vAlign w:val="center"/>
          </w:tcPr>
          <w:p w:rsidR="00CA619C" w:rsidRDefault="00CA619C" w:rsidP="00CA619C">
            <w:pPr>
              <w:spacing w:afterLines="50" w:after="156"/>
              <w:rPr>
                <w:rFonts w:ascii="Calibri" w:hAnsi="Calibri"/>
                <w:szCs w:val="21"/>
              </w:rPr>
            </w:pPr>
            <w:r>
              <w:rPr>
                <w:rFonts w:ascii="Calibri" w:hAnsi="Calibri" w:hint="eastAsia"/>
                <w:szCs w:val="21"/>
              </w:rPr>
              <w:t>纽约城市大学能源研究所</w:t>
            </w:r>
          </w:p>
        </w:tc>
        <w:tc>
          <w:tcPr>
            <w:tcW w:w="2763" w:type="pct"/>
            <w:tcBorders>
              <w:top w:val="single" w:sz="4" w:space="0" w:color="auto"/>
              <w:left w:val="single" w:sz="4" w:space="0" w:color="auto"/>
              <w:bottom w:val="single" w:sz="4" w:space="0" w:color="auto"/>
              <w:right w:val="single" w:sz="4" w:space="0" w:color="auto"/>
            </w:tcBorders>
            <w:vAlign w:val="center"/>
          </w:tcPr>
          <w:p w:rsidR="00CA619C" w:rsidRDefault="00CA619C" w:rsidP="00CA619C">
            <w:pPr>
              <w:spacing w:afterLines="50" w:after="156"/>
              <w:rPr>
                <w:rFonts w:ascii="Calibri" w:hAnsi="Calibri"/>
                <w:szCs w:val="21"/>
              </w:rPr>
            </w:pPr>
            <w:r>
              <w:rPr>
                <w:rFonts w:ascii="Calibri" w:hAnsi="Calibri" w:hint="eastAsia"/>
                <w:szCs w:val="21"/>
              </w:rPr>
              <w:t>开发出一种安全无毒可靠并快速充放电的高能量密度的新型镍锌液流电池</w:t>
            </w:r>
          </w:p>
        </w:tc>
        <w:tc>
          <w:tcPr>
            <w:tcW w:w="1457" w:type="pct"/>
            <w:tcBorders>
              <w:top w:val="single" w:sz="4" w:space="0" w:color="auto"/>
              <w:left w:val="single" w:sz="4" w:space="0" w:color="auto"/>
              <w:bottom w:val="single" w:sz="4" w:space="0" w:color="auto"/>
              <w:right w:val="single" w:sz="4" w:space="0" w:color="auto"/>
            </w:tcBorders>
            <w:vAlign w:val="center"/>
          </w:tcPr>
          <w:p w:rsidR="00CA619C" w:rsidRDefault="00CA619C" w:rsidP="00CA619C">
            <w:pPr>
              <w:spacing w:afterLines="50" w:after="156"/>
              <w:rPr>
                <w:rFonts w:ascii="Calibri" w:hAnsi="Calibri"/>
                <w:szCs w:val="21"/>
              </w:rPr>
            </w:pPr>
            <w:r>
              <w:rPr>
                <w:rFonts w:ascii="Calibri" w:hAnsi="Calibri" w:hint="eastAsia"/>
                <w:szCs w:val="21"/>
              </w:rPr>
              <w:t>能够为学校节省大量电费</w:t>
            </w:r>
          </w:p>
        </w:tc>
      </w:tr>
    </w:tbl>
    <w:p w:rsidR="00CA619C" w:rsidRDefault="00CA619C" w:rsidP="00CA619C">
      <w:pPr>
        <w:pStyle w:val="a2"/>
        <w:ind w:left="840"/>
        <w:rPr>
          <w:rFonts w:hint="eastAsia"/>
        </w:rPr>
      </w:pPr>
      <w:r>
        <w:rPr>
          <w:rFonts w:hint="eastAsia"/>
        </w:rPr>
        <w:t>（资料来源：中国能源网研究中心根据相关资料整理。）</w:t>
      </w:r>
    </w:p>
    <w:p w:rsidR="00CA619C" w:rsidRDefault="00CA619C" w:rsidP="00CA619C">
      <w:pPr>
        <w:pStyle w:val="Heading3"/>
        <w:numPr>
          <w:ilvl w:val="2"/>
          <w:numId w:val="1"/>
        </w:numPr>
        <w:tabs>
          <w:tab w:val="clear" w:pos="720"/>
        </w:tabs>
        <w:rPr>
          <w:rFonts w:hint="eastAsia"/>
        </w:rPr>
      </w:pPr>
      <w:bookmarkStart w:id="90" w:name="_Toc392853127"/>
      <w:r>
        <w:rPr>
          <w:rFonts w:hint="eastAsia"/>
        </w:rPr>
        <w:t>专门的能源联合研究中心</w:t>
      </w:r>
      <w:bookmarkEnd w:id="90"/>
    </w:p>
    <w:p w:rsidR="00CA619C" w:rsidRDefault="00CA619C" w:rsidP="00CA619C">
      <w:pPr>
        <w:spacing w:afterLines="50" w:after="156" w:line="400" w:lineRule="exact"/>
        <w:ind w:firstLine="480"/>
        <w:rPr>
          <w:rFonts w:hint="eastAsia"/>
        </w:rPr>
      </w:pPr>
      <w:r>
        <w:rPr>
          <w:rFonts w:hint="eastAsia"/>
        </w:rPr>
        <w:t>除了国家实验室、高等院校及企业之外，美国能源部还针对不同的能源领域，联合多家实验室、大学以及企业等成立具有针对性的专门的能源研究联合中心。例如，美国能源部就曾投资</w:t>
      </w:r>
      <w:r>
        <w:t>1.2</w:t>
      </w:r>
      <w:r>
        <w:rPr>
          <w:rFonts w:hint="eastAsia"/>
        </w:rPr>
        <w:t>亿美元在芝加哥建立了一个储能研究联合中心，专门从事高级蓄能电池的研发。</w:t>
      </w:r>
    </w:p>
    <w:p w:rsidR="00CA619C" w:rsidRDefault="00CA619C" w:rsidP="00CA619C">
      <w:pPr>
        <w:spacing w:afterLines="50" w:after="156" w:line="400" w:lineRule="exact"/>
        <w:ind w:firstLine="480"/>
      </w:pPr>
      <w:r>
        <w:rPr>
          <w:rFonts w:hint="eastAsia"/>
        </w:rPr>
        <w:t>该储能研究联合中心是以美国阿贡国家实验室为领导的专门研究组，主要使电动汽车价格更为消费者所接受，该中心包括：</w:t>
      </w:r>
      <w:r>
        <w:rPr>
          <w:rFonts w:hint="eastAsia"/>
        </w:rPr>
        <w:t>5</w:t>
      </w:r>
      <w:r>
        <w:rPr>
          <w:rFonts w:hint="eastAsia"/>
        </w:rPr>
        <w:t>家大的国家级实验室、</w:t>
      </w:r>
      <w:r>
        <w:rPr>
          <w:rFonts w:hint="eastAsia"/>
        </w:rPr>
        <w:t>5</w:t>
      </w:r>
      <w:r>
        <w:rPr>
          <w:rFonts w:hint="eastAsia"/>
        </w:rPr>
        <w:t>所知名大学，以及</w:t>
      </w:r>
      <w:r>
        <w:rPr>
          <w:rFonts w:hint="eastAsia"/>
        </w:rPr>
        <w:t>4</w:t>
      </w:r>
      <w:r>
        <w:rPr>
          <w:rFonts w:hint="eastAsia"/>
        </w:rPr>
        <w:t>家知名私人企业。该中心计划用</w:t>
      </w:r>
      <w:r>
        <w:t>5</w:t>
      </w:r>
      <w:r>
        <w:rPr>
          <w:rFonts w:hint="eastAsia"/>
        </w:rPr>
        <w:t>年时间，研发出容量是现在</w:t>
      </w:r>
      <w:r>
        <w:t>5</w:t>
      </w:r>
      <w:r>
        <w:rPr>
          <w:rFonts w:hint="eastAsia"/>
        </w:rPr>
        <w:t>倍的新型电池，同时成本降到现在的</w:t>
      </w:r>
      <w:r>
        <w:t>1/5</w:t>
      </w:r>
      <w:r>
        <w:rPr>
          <w:rFonts w:hint="eastAsia"/>
        </w:rPr>
        <w:t>。</w:t>
      </w:r>
    </w:p>
    <w:p w:rsidR="00CA619C" w:rsidRDefault="00CA619C" w:rsidP="00CA619C">
      <w:pPr>
        <w:pStyle w:val="a"/>
      </w:pPr>
      <w:bookmarkStart w:id="91" w:name="_Toc7339"/>
      <w:bookmarkStart w:id="92" w:name="_Toc2388"/>
      <w:r>
        <w:rPr>
          <w:rFonts w:hint="eastAsia"/>
        </w:rPr>
        <w:br w:type="page"/>
      </w:r>
      <w:bookmarkStart w:id="93" w:name="_Toc392853327"/>
      <w:r>
        <w:rPr>
          <w:rFonts w:hint="eastAsia"/>
        </w:rPr>
        <w:t>美国储能研究联合中心科研队伍组成</w:t>
      </w:r>
      <w:bookmarkEnd w:id="91"/>
      <w:bookmarkEnd w:id="92"/>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3756"/>
        <w:gridCol w:w="2474"/>
        <w:gridCol w:w="2228"/>
      </w:tblGrid>
      <w:tr w:rsidR="00CA619C" w:rsidTr="00CA619C">
        <w:tc>
          <w:tcPr>
            <w:tcW w:w="1008" w:type="dxa"/>
            <w:vMerge w:val="restart"/>
            <w:vAlign w:val="center"/>
          </w:tcPr>
          <w:p w:rsidR="00CA619C" w:rsidRDefault="00CA619C" w:rsidP="00CA619C">
            <w:pPr>
              <w:spacing w:afterLines="50" w:after="156"/>
              <w:rPr>
                <w:rFonts w:hint="eastAsia"/>
                <w:b/>
              </w:rPr>
            </w:pPr>
            <w:r>
              <w:rPr>
                <w:rFonts w:hint="eastAsia"/>
                <w:b/>
              </w:rPr>
              <w:t>美国储能研究联合中心——科研队伍组成</w:t>
            </w:r>
          </w:p>
          <w:p w:rsidR="00CA619C" w:rsidRDefault="00CA619C" w:rsidP="00CA619C">
            <w:pPr>
              <w:spacing w:afterLines="50" w:after="156"/>
              <w:ind w:firstLine="480"/>
              <w:rPr>
                <w:rFonts w:hint="eastAsia"/>
              </w:rPr>
            </w:pPr>
          </w:p>
        </w:tc>
        <w:tc>
          <w:tcPr>
            <w:tcW w:w="3756" w:type="dxa"/>
            <w:vAlign w:val="center"/>
          </w:tcPr>
          <w:p w:rsidR="00CA619C" w:rsidRDefault="00CA619C" w:rsidP="00CA619C">
            <w:pPr>
              <w:spacing w:afterLines="50" w:after="156"/>
              <w:rPr>
                <w:rFonts w:hint="eastAsia"/>
                <w:b/>
                <w:bCs/>
              </w:rPr>
            </w:pPr>
            <w:r>
              <w:rPr>
                <w:b/>
                <w:bCs/>
              </w:rPr>
              <w:t>5</w:t>
            </w:r>
            <w:r>
              <w:rPr>
                <w:rFonts w:hint="eastAsia"/>
                <w:b/>
                <w:bCs/>
              </w:rPr>
              <w:t>大国家实验室</w:t>
            </w:r>
          </w:p>
        </w:tc>
        <w:tc>
          <w:tcPr>
            <w:tcW w:w="2474" w:type="dxa"/>
            <w:vAlign w:val="center"/>
          </w:tcPr>
          <w:p w:rsidR="00CA619C" w:rsidRDefault="00CA619C" w:rsidP="00CA619C">
            <w:pPr>
              <w:spacing w:afterLines="50" w:after="156"/>
              <w:rPr>
                <w:rFonts w:hint="eastAsia"/>
                <w:b/>
                <w:bCs/>
              </w:rPr>
            </w:pPr>
            <w:r>
              <w:rPr>
                <w:b/>
                <w:bCs/>
              </w:rPr>
              <w:t>5</w:t>
            </w:r>
            <w:r>
              <w:rPr>
                <w:rFonts w:hint="eastAsia"/>
                <w:b/>
                <w:bCs/>
              </w:rPr>
              <w:t>所大学</w:t>
            </w:r>
          </w:p>
        </w:tc>
        <w:tc>
          <w:tcPr>
            <w:tcW w:w="2228" w:type="dxa"/>
            <w:vAlign w:val="center"/>
          </w:tcPr>
          <w:p w:rsidR="00CA619C" w:rsidRDefault="00CA619C" w:rsidP="00CA619C">
            <w:pPr>
              <w:spacing w:afterLines="50" w:after="156"/>
              <w:rPr>
                <w:rFonts w:hint="eastAsia"/>
                <w:b/>
                <w:bCs/>
              </w:rPr>
            </w:pPr>
            <w:r>
              <w:rPr>
                <w:b/>
                <w:bCs/>
              </w:rPr>
              <w:t>4</w:t>
            </w:r>
            <w:r>
              <w:rPr>
                <w:rFonts w:hint="eastAsia"/>
                <w:b/>
                <w:bCs/>
              </w:rPr>
              <w:t>家私人企业</w:t>
            </w:r>
          </w:p>
        </w:tc>
      </w:tr>
      <w:tr w:rsidR="00CA619C" w:rsidTr="00CA619C">
        <w:tc>
          <w:tcPr>
            <w:tcW w:w="1008" w:type="dxa"/>
            <w:vMerge/>
            <w:vAlign w:val="center"/>
          </w:tcPr>
          <w:p w:rsidR="00CA619C" w:rsidRDefault="00CA619C" w:rsidP="00CA619C">
            <w:pPr>
              <w:spacing w:afterLines="50" w:after="156"/>
              <w:rPr>
                <w:rFonts w:hint="eastAsia"/>
                <w:b/>
              </w:rPr>
            </w:pPr>
          </w:p>
        </w:tc>
        <w:tc>
          <w:tcPr>
            <w:tcW w:w="3756" w:type="dxa"/>
            <w:vAlign w:val="center"/>
          </w:tcPr>
          <w:p w:rsidR="00CA619C" w:rsidRDefault="00CA619C" w:rsidP="00CA619C">
            <w:pPr>
              <w:spacing w:afterLines="50" w:after="156"/>
              <w:rPr>
                <w:rFonts w:hint="eastAsia"/>
              </w:rPr>
            </w:pPr>
            <w:r>
              <w:rPr>
                <w:rFonts w:hint="eastAsia"/>
              </w:rPr>
              <w:t>阿贡国家实验室</w:t>
            </w:r>
          </w:p>
          <w:p w:rsidR="00CA619C" w:rsidRDefault="00CA619C" w:rsidP="00CA619C">
            <w:pPr>
              <w:spacing w:afterLines="50" w:after="156"/>
              <w:rPr>
                <w:rFonts w:hint="eastAsia"/>
              </w:rPr>
            </w:pPr>
            <w:r>
              <w:rPr>
                <w:rFonts w:hint="eastAsia"/>
              </w:rPr>
              <w:t>国劳斯柏克莱国度实验室</w:t>
            </w:r>
          </w:p>
          <w:p w:rsidR="00CA619C" w:rsidRDefault="00CA619C" w:rsidP="00CA619C">
            <w:pPr>
              <w:spacing w:afterLines="50" w:after="156"/>
              <w:rPr>
                <w:rFonts w:hint="eastAsia"/>
              </w:rPr>
            </w:pPr>
            <w:r>
              <w:rPr>
                <w:rFonts w:hint="eastAsia"/>
              </w:rPr>
              <w:t>西北太平洋国家实验室</w:t>
            </w:r>
          </w:p>
          <w:p w:rsidR="00CA619C" w:rsidRDefault="00CA619C" w:rsidP="00CA619C">
            <w:pPr>
              <w:spacing w:afterLines="50" w:after="156"/>
              <w:rPr>
                <w:rFonts w:hint="eastAsia"/>
              </w:rPr>
            </w:pPr>
            <w:r>
              <w:rPr>
                <w:rFonts w:hint="eastAsia"/>
              </w:rPr>
              <w:t>桑迪亚国家实验室</w:t>
            </w:r>
          </w:p>
          <w:p w:rsidR="00CA619C" w:rsidRDefault="00CA619C" w:rsidP="00CA619C">
            <w:pPr>
              <w:spacing w:afterLines="50" w:after="156"/>
              <w:rPr>
                <w:rFonts w:hint="eastAsia"/>
              </w:rPr>
            </w:pPr>
            <w:r>
              <w:rPr>
                <w:rFonts w:hint="eastAsia"/>
              </w:rPr>
              <w:t>史丹福大学直线加速国家实验室</w:t>
            </w:r>
          </w:p>
        </w:tc>
        <w:tc>
          <w:tcPr>
            <w:tcW w:w="2474" w:type="dxa"/>
          </w:tcPr>
          <w:p w:rsidR="00CA619C" w:rsidRDefault="00CA619C" w:rsidP="00CA619C">
            <w:pPr>
              <w:spacing w:afterLines="50" w:after="156"/>
              <w:rPr>
                <w:rFonts w:hint="eastAsia"/>
              </w:rPr>
            </w:pPr>
            <w:r>
              <w:rPr>
                <w:rFonts w:hint="eastAsia"/>
              </w:rPr>
              <w:t>美国西北大学</w:t>
            </w:r>
          </w:p>
          <w:p w:rsidR="00CA619C" w:rsidRDefault="00CA619C" w:rsidP="00CA619C">
            <w:pPr>
              <w:spacing w:afterLines="50" w:after="156"/>
              <w:rPr>
                <w:rFonts w:hint="eastAsia"/>
              </w:rPr>
            </w:pPr>
            <w:r>
              <w:rPr>
                <w:rFonts w:hint="eastAsia"/>
              </w:rPr>
              <w:t>芝加哥大学</w:t>
            </w:r>
          </w:p>
          <w:p w:rsidR="00CA619C" w:rsidRDefault="00CA619C" w:rsidP="00CA619C">
            <w:pPr>
              <w:spacing w:afterLines="50" w:after="156"/>
              <w:rPr>
                <w:rFonts w:hint="eastAsia"/>
              </w:rPr>
            </w:pPr>
            <w:r>
              <w:rPr>
                <w:rFonts w:hint="eastAsia"/>
              </w:rPr>
              <w:t>芝加哥伊利诺大学</w:t>
            </w:r>
          </w:p>
          <w:p w:rsidR="00CA619C" w:rsidRDefault="00CA619C" w:rsidP="00CA619C">
            <w:pPr>
              <w:spacing w:afterLines="50" w:after="156"/>
              <w:rPr>
                <w:rFonts w:hint="eastAsia"/>
              </w:rPr>
            </w:pPr>
            <w:r>
              <w:rPr>
                <w:rFonts w:hint="eastAsia"/>
              </w:rPr>
              <w:t>伊利诺大学</w:t>
            </w:r>
            <w:r>
              <w:t>-</w:t>
            </w:r>
            <w:r>
              <w:rPr>
                <w:rFonts w:hint="eastAsia"/>
              </w:rPr>
              <w:t>香槟分校</w:t>
            </w:r>
          </w:p>
          <w:p w:rsidR="00CA619C" w:rsidRDefault="00CA619C" w:rsidP="00CA619C">
            <w:pPr>
              <w:spacing w:afterLines="50" w:after="156"/>
              <w:rPr>
                <w:rFonts w:hint="eastAsia"/>
              </w:rPr>
            </w:pPr>
            <w:r>
              <w:rPr>
                <w:rFonts w:hint="eastAsia"/>
              </w:rPr>
              <w:t>密歇根大学</w:t>
            </w:r>
          </w:p>
        </w:tc>
        <w:tc>
          <w:tcPr>
            <w:tcW w:w="2228" w:type="dxa"/>
          </w:tcPr>
          <w:p w:rsidR="00CA619C" w:rsidRDefault="00CA619C" w:rsidP="00CA619C">
            <w:pPr>
              <w:spacing w:afterLines="50" w:after="156"/>
              <w:rPr>
                <w:rFonts w:hint="eastAsia"/>
              </w:rPr>
            </w:pPr>
            <w:r>
              <w:rPr>
                <w:rFonts w:hint="eastAsia"/>
              </w:rPr>
              <w:t>陶氏化学公司</w:t>
            </w:r>
          </w:p>
          <w:p w:rsidR="00CA619C" w:rsidRDefault="00CA619C" w:rsidP="00CA619C">
            <w:pPr>
              <w:spacing w:afterLines="50" w:after="156"/>
              <w:rPr>
                <w:rFonts w:hint="eastAsia"/>
              </w:rPr>
            </w:pPr>
            <w:r>
              <w:rPr>
                <w:rFonts w:hint="eastAsia"/>
              </w:rPr>
              <w:t>应用材料公司</w:t>
            </w:r>
          </w:p>
          <w:p w:rsidR="00CA619C" w:rsidRDefault="00CA619C" w:rsidP="00CA619C">
            <w:pPr>
              <w:spacing w:afterLines="50" w:after="156"/>
              <w:rPr>
                <w:rFonts w:hint="eastAsia"/>
              </w:rPr>
            </w:pPr>
            <w:r>
              <w:rPr>
                <w:rFonts w:hint="eastAsia"/>
              </w:rPr>
              <w:t>江森自控</w:t>
            </w:r>
          </w:p>
          <w:p w:rsidR="00CA619C" w:rsidRDefault="00CA619C" w:rsidP="00CA619C">
            <w:pPr>
              <w:spacing w:afterLines="50" w:after="156"/>
              <w:rPr>
                <w:rFonts w:hint="eastAsia"/>
              </w:rPr>
            </w:pPr>
            <w:r>
              <w:rPr>
                <w:rFonts w:hint="eastAsia"/>
              </w:rPr>
              <w:t>清洁能源信托公司</w:t>
            </w:r>
          </w:p>
        </w:tc>
      </w:tr>
    </w:tbl>
    <w:p w:rsidR="00CA619C" w:rsidRDefault="00CA619C" w:rsidP="00CA619C">
      <w:pPr>
        <w:pStyle w:val="a2"/>
        <w:ind w:left="840"/>
        <w:rPr>
          <w:rFonts w:hint="eastAsia"/>
        </w:rPr>
      </w:pPr>
      <w:r>
        <w:rPr>
          <w:rFonts w:hint="eastAsia"/>
        </w:rPr>
        <w:t>（来源：中国储能专业委员会）</w:t>
      </w:r>
    </w:p>
    <w:p w:rsidR="00CA619C" w:rsidRDefault="00CA619C" w:rsidP="00CA619C">
      <w:pPr>
        <w:pStyle w:val="Heading3"/>
        <w:numPr>
          <w:ilvl w:val="2"/>
          <w:numId w:val="1"/>
        </w:numPr>
        <w:tabs>
          <w:tab w:val="clear" w:pos="720"/>
        </w:tabs>
        <w:rPr>
          <w:rFonts w:hint="eastAsia"/>
        </w:rPr>
      </w:pPr>
      <w:bookmarkStart w:id="94" w:name="_Toc392853128"/>
      <w:r>
        <w:rPr>
          <w:rFonts w:hint="eastAsia"/>
        </w:rPr>
        <w:t>企业系统</w:t>
      </w:r>
      <w:bookmarkEnd w:id="94"/>
    </w:p>
    <w:p w:rsidR="00CA619C" w:rsidRDefault="00CA619C" w:rsidP="00CA619C">
      <w:pPr>
        <w:ind w:firstLine="480"/>
        <w:rPr>
          <w:rFonts w:hint="eastAsia"/>
        </w:rPr>
      </w:pPr>
      <w:r>
        <w:t>企业的科技工作在全美占有举足轻重的地位。大约</w:t>
      </w:r>
      <w:r>
        <w:rPr>
          <w:rFonts w:hint="eastAsia"/>
        </w:rPr>
        <w:t>3/4</w:t>
      </w:r>
      <w:r>
        <w:rPr>
          <w:rFonts w:hint="eastAsia"/>
        </w:rPr>
        <w:t>的</w:t>
      </w:r>
      <w:r>
        <w:rPr>
          <w:rFonts w:hint="eastAsia"/>
        </w:rPr>
        <w:t>R&amp;D</w:t>
      </w:r>
      <w:r>
        <w:rPr>
          <w:rFonts w:hint="eastAsia"/>
        </w:rPr>
        <w:t>工作</w:t>
      </w:r>
      <w:r>
        <w:t>是企业部门完成的，</w:t>
      </w:r>
      <w:r>
        <w:t>3/4</w:t>
      </w:r>
      <w:r>
        <w:t>的科研人员分布在企业科研单位，这里还吸纳了全国</w:t>
      </w:r>
      <w:r>
        <w:t>60%</w:t>
      </w:r>
      <w:r>
        <w:t>以上的</w:t>
      </w:r>
      <w:r>
        <w:t>R</w:t>
      </w:r>
      <w:r>
        <w:t>＆</w:t>
      </w:r>
      <w:r>
        <w:t>D</w:t>
      </w:r>
      <w:r>
        <w:t>总经费。</w:t>
      </w:r>
    </w:p>
    <w:p w:rsidR="00CA619C" w:rsidRDefault="00CA619C" w:rsidP="00CA619C">
      <w:pPr>
        <w:pStyle w:val="Heading4"/>
        <w:tabs>
          <w:tab w:val="left" w:pos="864"/>
        </w:tabs>
        <w:rPr>
          <w:rFonts w:hint="eastAsia"/>
        </w:rPr>
      </w:pPr>
      <w:r>
        <w:rPr>
          <w:rFonts w:hint="eastAsia"/>
        </w:rPr>
        <w:t>大型企业</w:t>
      </w:r>
    </w:p>
    <w:p w:rsidR="00CA619C" w:rsidRDefault="00CA619C" w:rsidP="00CA619C">
      <w:pPr>
        <w:ind w:firstLine="480"/>
        <w:rPr>
          <w:rFonts w:hint="eastAsia"/>
        </w:rPr>
      </w:pPr>
      <w:r>
        <w:t>在</w:t>
      </w:r>
      <w:r>
        <w:rPr>
          <w:rFonts w:hint="eastAsia"/>
        </w:rPr>
        <w:t>美国</w:t>
      </w:r>
      <w:r>
        <w:t>企业研发工作中，</w:t>
      </w:r>
      <w:r>
        <w:rPr>
          <w:rFonts w:hint="eastAsia"/>
        </w:rPr>
        <w:t>大型企业在美国能源技术创新中发挥着重要作用。例如，美国贝尔实验室、贝克休斯、斯伦贝谢及哈里伯顿等油气田技术服务公司均在全球拥有多个技术研发中心及实验中心，这些大型企业的研发及实验中心均对美国的技术进步与技术创新起到过巨大的引导作用。在美国大型企业技术创新最鼎盛的</w:t>
      </w:r>
      <w:r>
        <w:rPr>
          <w:rFonts w:hint="eastAsia"/>
        </w:rPr>
        <w:t>20</w:t>
      </w:r>
      <w:r>
        <w:rPr>
          <w:rFonts w:hint="eastAsia"/>
        </w:rPr>
        <w:t>世纪</w:t>
      </w:r>
      <w:r>
        <w:rPr>
          <w:rFonts w:hint="eastAsia"/>
        </w:rPr>
        <w:t>50-90</w:t>
      </w:r>
      <w:r>
        <w:rPr>
          <w:rFonts w:hint="eastAsia"/>
        </w:rPr>
        <w:t>年代，这些大型企业研发中心所开展的基础研究占到美国整体基础研究比例的的</w:t>
      </w:r>
      <w:r>
        <w:rPr>
          <w:rFonts w:hint="eastAsia"/>
        </w:rPr>
        <w:t>20%</w:t>
      </w:r>
      <w:r>
        <w:rPr>
          <w:rFonts w:hint="eastAsia"/>
        </w:rPr>
        <w:t>以上。</w:t>
      </w:r>
    </w:p>
    <w:p w:rsidR="00CA619C" w:rsidRDefault="00CA619C" w:rsidP="00CA619C">
      <w:pPr>
        <w:ind w:firstLine="480"/>
        <w:rPr>
          <w:rFonts w:hint="eastAsia"/>
        </w:rPr>
      </w:pPr>
      <w:r>
        <w:rPr>
          <w:rFonts w:hint="eastAsia"/>
        </w:rPr>
        <w:t>在能源领域，美国的大型能源企业基本上都具有有很强的全球竞争力，在本国以及全球产业链中位居技术集成和产业领导地位，而且大型企业很容易凭借资金实力及市场优势整合本土中小企业的技术创新成果，推进产业技术的升级换代与规模化商业应用。</w:t>
      </w:r>
    </w:p>
    <w:p w:rsidR="00CA619C" w:rsidRDefault="00CA619C" w:rsidP="00CA619C">
      <w:pPr>
        <w:ind w:firstLine="480"/>
        <w:rPr>
          <w:rFonts w:hint="eastAsia"/>
        </w:rPr>
      </w:pPr>
      <w:r>
        <w:rPr>
          <w:rFonts w:hint="eastAsia"/>
        </w:rPr>
        <w:t>例如，在美国页岩气领域，大公司的介入及参与在很大程度上推动页岩气勘探开发的关键核心技术投向规模化应用。据调研，在美国页岩气开发早期，大型油气公司并没有重视对页岩气的开发，而更多的是将注意力集中在墨西哥湾的深水油气开发，也低估了页岩气的潜力。当然，那时大型油气公司也没有精力与诸多土地持有者进行旷日持久的矿业权获取谈判，几乎没有早期介入页岩气的开发。然而，随着墨西哥湾深水油气产量的下滑，大型油气公司难以找到比较大的储量增长点来保证储量接替率，因此大型油气公司凭借其在产业长期性和投资能力上的优势纷纷转向日益成熟的页岩气开发市场。正是由于一些大型油气公司在美国页岩气产业发展稍显成熟之时便果断并购大量拥有关键核心技术及页岩气区块的中小型能源公司，才使得一些重大的页岩气勘探开发技术得以广泛应用及提升。可见，新兴能源技术也往往出现在市场主体经历了几轮投资或并购重组之后得以持续优化，并最终实现大规模商业化应用。</w:t>
      </w:r>
    </w:p>
    <w:p w:rsidR="00CA619C" w:rsidRDefault="00CA619C" w:rsidP="00CA619C">
      <w:pPr>
        <w:pStyle w:val="Heading4"/>
        <w:tabs>
          <w:tab w:val="left" w:pos="864"/>
        </w:tabs>
        <w:rPr>
          <w:rFonts w:hint="eastAsia"/>
        </w:rPr>
      </w:pPr>
      <w:r>
        <w:rPr>
          <w:rFonts w:hint="eastAsia"/>
        </w:rPr>
        <w:t>中小企业</w:t>
      </w:r>
    </w:p>
    <w:p w:rsidR="00CA619C" w:rsidRDefault="00CA619C" w:rsidP="00CA619C">
      <w:pPr>
        <w:ind w:firstLine="480"/>
        <w:rPr>
          <w:rFonts w:ascii="宋体" w:hAnsi="宋体" w:hint="eastAsia"/>
        </w:rPr>
      </w:pPr>
      <w:r>
        <w:rPr>
          <w:rFonts w:ascii="宋体" w:hAnsi="宋体" w:cs="宋体"/>
        </w:rPr>
        <w:t>20世纪70年代以来，</w:t>
      </w:r>
      <w:r>
        <w:rPr>
          <w:rFonts w:ascii="宋体" w:hAnsi="宋体" w:cs="宋体" w:hint="eastAsia"/>
        </w:rPr>
        <w:t>美国</w:t>
      </w:r>
      <w:r>
        <w:rPr>
          <w:rFonts w:ascii="宋体" w:hAnsi="宋体" w:cs="宋体"/>
        </w:rPr>
        <w:t>中小企业的科技开发作用也显著增加，特别是在科技工业园发展中，中小企业及其技术创新活动起了决定性作用。</w:t>
      </w:r>
      <w:r>
        <w:rPr>
          <w:rFonts w:ascii="宋体" w:hAnsi="宋体" w:hint="eastAsia"/>
        </w:rPr>
        <w:t>目前，美国70%以上的创新成果来自于中小企业。例如，在近年来美国最为引以自豪的页岩气革命中，引领页岩气勘探开发技术突破的正是中小企业，如Michell能源公司和Devon能源公司等。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CA619C" w:rsidTr="00CA619C">
        <w:tc>
          <w:tcPr>
            <w:tcW w:w="9288" w:type="dxa"/>
          </w:tcPr>
          <w:p w:rsidR="00CA619C" w:rsidRDefault="00CA619C" w:rsidP="00CA619C">
            <w:pPr>
              <w:pStyle w:val="1"/>
              <w:spacing w:after="0"/>
              <w:ind w:left="0" w:firstLineChars="0" w:firstLine="0"/>
              <w:rPr>
                <w:rFonts w:ascii="宋体" w:hAnsi="宋体" w:cs="宋体" w:hint="eastAsia"/>
                <w:b/>
                <w:i/>
                <w:szCs w:val="24"/>
                <w:lang w:eastAsia="zh-CN"/>
              </w:rPr>
            </w:pPr>
            <w:r>
              <w:rPr>
                <w:rFonts w:ascii="宋体" w:hAnsi="宋体" w:cs="宋体" w:hint="eastAsia"/>
                <w:b/>
                <w:i/>
                <w:szCs w:val="24"/>
                <w:lang w:eastAsia="zh-CN"/>
              </w:rPr>
              <w:t>专栏：美国页岩气革命中不同规模的能源企业促进技术创新的合作与有序接替</w:t>
            </w:r>
          </w:p>
          <w:p w:rsidR="00CA619C" w:rsidRDefault="00CA619C" w:rsidP="00CA619C">
            <w:pPr>
              <w:ind w:firstLine="480"/>
              <w:rPr>
                <w:rFonts w:ascii="宋体" w:hAnsi="宋体" w:hint="eastAsia"/>
              </w:rPr>
            </w:pPr>
            <w:r>
              <w:rPr>
                <w:rFonts w:ascii="宋体" w:hAnsi="宋体" w:hint="eastAsia"/>
              </w:rPr>
              <w:t>美国充分鼓励页岩气勘探开发领域的竞争，注重发挥中小企业的作用，在页岩气产业发展上形成了中小企业与大企业有机接替、专业化分工与协作有机结合、产业链各环节资本高效流动的开发机制。</w:t>
            </w:r>
          </w:p>
          <w:p w:rsidR="00CA619C" w:rsidRDefault="00CA619C" w:rsidP="00CA619C">
            <w:pPr>
              <w:numPr>
                <w:ilvl w:val="0"/>
                <w:numId w:val="8"/>
              </w:numPr>
              <w:spacing w:line="360" w:lineRule="auto"/>
              <w:rPr>
                <w:rFonts w:ascii="宋体" w:hAnsi="宋体" w:hint="eastAsia"/>
                <w:b/>
              </w:rPr>
            </w:pPr>
            <w:bookmarkStart w:id="95" w:name="_Toc317058629"/>
            <w:r>
              <w:rPr>
                <w:rFonts w:ascii="宋体" w:hAnsi="宋体" w:hint="eastAsia"/>
                <w:b/>
              </w:rPr>
              <w:t>中小公司推动页岩气技术创新及商业化</w:t>
            </w:r>
            <w:bookmarkEnd w:id="95"/>
          </w:p>
          <w:p w:rsidR="00CA619C" w:rsidRDefault="00CA619C" w:rsidP="00CA619C">
            <w:pPr>
              <w:ind w:firstLine="480"/>
              <w:rPr>
                <w:rFonts w:ascii="宋体" w:hAnsi="宋体" w:hint="eastAsia"/>
              </w:rPr>
            </w:pPr>
            <w:r>
              <w:rPr>
                <w:rFonts w:ascii="宋体" w:hAnsi="宋体" w:hint="eastAsia"/>
              </w:rPr>
              <w:t>页岩气在开发初期经济性和成长性不明朗，而技术驱动性强。大公司不愿介入，然而中小公司创新意识强、敢于承担风险，在发现新机会和技术革新行动上更为快捷。目前，美国85%的页岩气由中小公司生产，多数区块被中小能源公司和各类基金控制，这些中小能源公司依靠传统的油田服务公司（如哈里伯顿、斯伦贝谢等）提供服务和技术支持。这些中小公司主要包括：Devon Energy、XTO Energy、Chesapeake、EOG Resources、Encana Oil &amp; Gas (USA)、BurlingtonResources等。政府对非常规能源在税收方面的减免，加上油价的上升，使得页岩气开发利润增大，促使中小型独立油气开发商在低回报、高成本的压力下，勇于投资页岩气开发，迅速实现技术革新，扩大产业收益。</w:t>
            </w:r>
          </w:p>
          <w:p w:rsidR="00CA619C" w:rsidRDefault="00CA619C" w:rsidP="00CA619C">
            <w:pPr>
              <w:ind w:firstLineChars="250" w:firstLine="525"/>
              <w:rPr>
                <w:rFonts w:ascii="宋体" w:hAnsi="宋体" w:hint="eastAsia"/>
              </w:rPr>
            </w:pPr>
            <w:r>
              <w:rPr>
                <w:rFonts w:ascii="宋体" w:hAnsi="宋体" w:hint="eastAsia"/>
              </w:rPr>
              <w:t>美国主要页岩气开采技术都源自中小能源和技术公司，一项技术从研发到商业化甚至经历了数个公司间的更替。例如Michell能源公司从1981年就开始研究页岩气开采技术，并在德克萨斯州北部Fort Worth盆地Barnett页岩地区完钻了第一口取心评价井，进行了氮气泡沫压裂改造；1986年该公司完成了下Barnett组的地层剖面的数据提取，并对其孔隙度、渗透率、有机质含量和裂缝方向进行了详细的研究；90年代末，Michell能源公司开始实施其它新的增产试验等，如此十几年坚持不懈，但待到快成功时该公司因实力不济，于1998年被Devon能源公司收购；Devon能源公司在2002年7月页岩气试验水平井取得巨大成功，此后，业界开始大力推广水平钻井，从此水平井技术在页岩气开采中实现了商业化，推动了美国页岩气产业的突破性发展。</w:t>
            </w:r>
          </w:p>
          <w:p w:rsidR="00CA619C" w:rsidRDefault="00CA619C" w:rsidP="00CA619C">
            <w:pPr>
              <w:ind w:firstLineChars="250" w:firstLine="568"/>
              <w:rPr>
                <w:rFonts w:ascii="宋体" w:hAnsi="宋体" w:hint="eastAsia"/>
                <w:b/>
              </w:rPr>
            </w:pPr>
          </w:p>
          <w:p w:rsidR="00CA619C" w:rsidRDefault="00CA619C" w:rsidP="00CA619C">
            <w:pPr>
              <w:numPr>
                <w:ilvl w:val="0"/>
                <w:numId w:val="8"/>
              </w:numPr>
              <w:spacing w:line="360" w:lineRule="auto"/>
              <w:rPr>
                <w:rFonts w:ascii="宋体" w:hAnsi="宋体" w:hint="eastAsia"/>
                <w:b/>
              </w:rPr>
            </w:pPr>
            <w:bookmarkStart w:id="96" w:name="_Toc317058630"/>
            <w:r>
              <w:rPr>
                <w:rFonts w:ascii="宋体" w:hAnsi="宋体" w:hint="eastAsia"/>
                <w:b/>
              </w:rPr>
              <w:t>大公司的介入及参与推动页岩气向规模化发展</w:t>
            </w:r>
            <w:bookmarkEnd w:id="96"/>
          </w:p>
          <w:p w:rsidR="00CA619C" w:rsidRDefault="00CA619C" w:rsidP="00CA619C">
            <w:pPr>
              <w:ind w:firstLine="480"/>
              <w:rPr>
                <w:rFonts w:ascii="宋体" w:hAnsi="宋体" w:cs="华文仿宋" w:hint="eastAsia"/>
                <w:color w:val="000000"/>
                <w:kern w:val="0"/>
              </w:rPr>
            </w:pPr>
            <w:r>
              <w:rPr>
                <w:rFonts w:ascii="宋体" w:hAnsi="宋体" w:hint="eastAsia"/>
              </w:rPr>
              <w:t>实际上在页岩气开发早期，</w:t>
            </w:r>
            <w:r>
              <w:rPr>
                <w:rFonts w:ascii="宋体" w:hAnsi="宋体" w:cs="华文仿宋" w:hint="eastAsia"/>
                <w:color w:val="000000"/>
                <w:kern w:val="0"/>
              </w:rPr>
              <w:t>大型油气公司并没有重视对页岩气的开发，而更多的是将注意力集中在墨西哥湾的深水油气开发，也低估了页岩气的潜力。当然，那时大型油气公司也没有精力与诸多土地持有者进行旷日持久的矿业权获取谈判，几乎没有早期介入页岩气的开发。然而，随着墨西哥湾深水油气产量的下滑，大型油气公司难以找到比较大的储量增长点来保证储量接替率，因此</w:t>
            </w:r>
            <w:r>
              <w:rPr>
                <w:rFonts w:ascii="宋体" w:hAnsi="宋体" w:hint="eastAsia"/>
              </w:rPr>
              <w:t>大型油气公司凭借其在产业长期性和投资能力上的优势</w:t>
            </w:r>
            <w:r>
              <w:rPr>
                <w:rFonts w:ascii="宋体" w:hAnsi="宋体" w:cs="华文仿宋" w:hint="eastAsia"/>
                <w:color w:val="000000"/>
                <w:kern w:val="0"/>
              </w:rPr>
              <w:t>纷纷转向日益成熟的页岩气开发市场。</w:t>
            </w:r>
          </w:p>
          <w:p w:rsidR="00CA619C" w:rsidRDefault="00CA619C" w:rsidP="00CA619C">
            <w:pPr>
              <w:ind w:firstLine="480"/>
              <w:rPr>
                <w:rFonts w:ascii="宋体" w:hAnsi="宋体" w:cs="华文仿宋" w:hint="eastAsia"/>
                <w:color w:val="000000"/>
                <w:kern w:val="0"/>
              </w:rPr>
            </w:pPr>
            <w:r>
              <w:rPr>
                <w:rFonts w:ascii="宋体" w:hAnsi="宋体" w:cs="华文仿宋" w:hint="eastAsia"/>
                <w:color w:val="000000"/>
                <w:kern w:val="0"/>
              </w:rPr>
              <w:t>近几年来，</w:t>
            </w:r>
            <w:r>
              <w:rPr>
                <w:rFonts w:ascii="宋体" w:hAnsi="宋体" w:cs="华文仿宋"/>
                <w:color w:val="000000"/>
                <w:kern w:val="0"/>
              </w:rPr>
              <w:t>以美国为主的页岩气资产交易非常活跃</w:t>
            </w:r>
            <w:r>
              <w:rPr>
                <w:rFonts w:ascii="宋体" w:hAnsi="宋体" w:cs="华文仿宋" w:hint="eastAsia"/>
                <w:color w:val="000000"/>
                <w:kern w:val="0"/>
              </w:rPr>
              <w:t>，一些大型油气公司开始通过并购拥有页岩区块或开采技术或开发经验的中小公司，或与中小公司合资合作等方式介入页岩气开发。据《环球》统计，</w:t>
            </w:r>
            <w:r>
              <w:rPr>
                <w:rFonts w:ascii="宋体" w:hAnsi="宋体" w:cs="华文仿宋"/>
                <w:color w:val="000000"/>
                <w:kern w:val="0"/>
              </w:rPr>
              <w:t>2009年1月至2010年4月，</w:t>
            </w:r>
            <w:r>
              <w:rPr>
                <w:rFonts w:ascii="宋体" w:hAnsi="宋体" w:cs="华文仿宋" w:hint="eastAsia"/>
                <w:color w:val="000000"/>
                <w:kern w:val="0"/>
              </w:rPr>
              <w:t>美国</w:t>
            </w:r>
            <w:r>
              <w:rPr>
                <w:rFonts w:ascii="宋体" w:hAnsi="宋体" w:cs="华文仿宋"/>
                <w:color w:val="000000"/>
                <w:kern w:val="0"/>
              </w:rPr>
              <w:t>页岩气</w:t>
            </w:r>
            <w:r>
              <w:rPr>
                <w:rFonts w:ascii="宋体" w:hAnsi="宋体" w:cs="华文仿宋" w:hint="eastAsia"/>
                <w:color w:val="000000"/>
                <w:kern w:val="0"/>
              </w:rPr>
              <w:t>产业</w:t>
            </w:r>
            <w:r>
              <w:rPr>
                <w:rFonts w:ascii="宋体" w:hAnsi="宋体" w:cs="华文仿宋"/>
                <w:color w:val="000000"/>
                <w:kern w:val="0"/>
              </w:rPr>
              <w:t>资产的收购兼并交易达到73.33亿美元，这还</w:t>
            </w:r>
            <w:r>
              <w:rPr>
                <w:rFonts w:ascii="宋体" w:hAnsi="宋体" w:cs="华文仿宋" w:hint="eastAsia"/>
                <w:color w:val="000000"/>
                <w:kern w:val="0"/>
              </w:rPr>
              <w:t>不包括</w:t>
            </w:r>
            <w:r>
              <w:rPr>
                <w:rFonts w:ascii="宋体" w:hAnsi="宋体" w:cs="华文仿宋"/>
                <w:color w:val="000000"/>
                <w:kern w:val="0"/>
              </w:rPr>
              <w:t>埃克森美孚</w:t>
            </w:r>
            <w:r>
              <w:rPr>
                <w:rFonts w:ascii="宋体" w:hAnsi="宋体" w:cs="华文仿宋" w:hint="eastAsia"/>
                <w:color w:val="000000"/>
                <w:kern w:val="0"/>
              </w:rPr>
              <w:t>公司于2009年12月以410亿美元全面</w:t>
            </w:r>
            <w:r>
              <w:rPr>
                <w:rFonts w:ascii="宋体" w:hAnsi="宋体" w:cs="华文仿宋"/>
                <w:color w:val="000000"/>
                <w:kern w:val="0"/>
              </w:rPr>
              <w:t>收购XTO能源</w:t>
            </w:r>
            <w:r>
              <w:rPr>
                <w:rFonts w:ascii="宋体" w:hAnsi="宋体" w:cs="华文仿宋" w:hint="eastAsia"/>
                <w:color w:val="000000"/>
                <w:kern w:val="0"/>
              </w:rPr>
              <w:t>公司的</w:t>
            </w:r>
            <w:r>
              <w:rPr>
                <w:rFonts w:ascii="宋体" w:hAnsi="宋体" w:cs="华文仿宋"/>
                <w:color w:val="000000"/>
                <w:kern w:val="0"/>
              </w:rPr>
              <w:t>常规天然气和非常规天然气资源</w:t>
            </w:r>
            <w:r>
              <w:rPr>
                <w:rFonts w:ascii="宋体" w:hAnsi="宋体" w:cs="华文仿宋" w:hint="eastAsia"/>
                <w:color w:val="000000"/>
                <w:kern w:val="0"/>
              </w:rPr>
              <w:t>的交易。</w:t>
            </w:r>
          </w:p>
          <w:p w:rsidR="00CA619C" w:rsidRDefault="00CA619C" w:rsidP="00CA619C">
            <w:pPr>
              <w:ind w:firstLine="480"/>
              <w:rPr>
                <w:rFonts w:ascii="宋体" w:hAnsi="宋体" w:hint="eastAsia"/>
              </w:rPr>
            </w:pPr>
            <w:r>
              <w:rPr>
                <w:rFonts w:ascii="宋体" w:hAnsi="宋体" w:cs="华文仿宋" w:hint="eastAsia"/>
                <w:color w:val="000000"/>
                <w:kern w:val="0"/>
              </w:rPr>
              <w:t>在美国，中小能源公司实现页岩气开发的技术突破与商业化应用后，大型油气公司凭借产业长期性和财政稳定性介入页岩气产业发展给予了更多的支持和保证，使得美国页岩气市场得以迅速规模化以及商业化发展。美国页岩气产业快速而有序发展起来，正是得益于这种专业化、市场化的资本交接</w:t>
            </w:r>
            <w:r>
              <w:rPr>
                <w:rFonts w:ascii="宋体" w:hAnsi="宋体" w:hint="eastAsia"/>
              </w:rPr>
              <w:t>。</w:t>
            </w:r>
          </w:p>
          <w:p w:rsidR="00CA619C" w:rsidRDefault="00CA619C" w:rsidP="00CA619C">
            <w:pPr>
              <w:numPr>
                <w:ilvl w:val="0"/>
                <w:numId w:val="8"/>
              </w:numPr>
              <w:spacing w:line="360" w:lineRule="auto"/>
              <w:rPr>
                <w:rFonts w:ascii="宋体" w:hAnsi="宋体" w:hint="eastAsia"/>
                <w:b/>
              </w:rPr>
            </w:pPr>
            <w:r>
              <w:rPr>
                <w:rFonts w:ascii="宋体" w:hAnsi="宋体" w:hint="eastAsia"/>
                <w:b/>
              </w:rPr>
              <w:t>在页岩气开发产业链的各个环节引进各类专业化的技术服务公司</w:t>
            </w:r>
          </w:p>
          <w:p w:rsidR="00CA619C" w:rsidRDefault="00CA619C" w:rsidP="00CA619C">
            <w:pPr>
              <w:rPr>
                <w:rFonts w:ascii="宋体" w:hAnsi="宋体" w:hint="eastAsia"/>
              </w:rPr>
            </w:pPr>
            <w:r>
              <w:rPr>
                <w:rFonts w:ascii="宋体" w:hAnsi="宋体" w:cs="华文仿宋" w:hint="eastAsia"/>
                <w:color w:val="000000"/>
                <w:kern w:val="0"/>
              </w:rPr>
              <w:t>美国页岩气开发在各个环节引进专业的服务公司进行作业，如专门的地震公司、钻井公司、软件公司等，是非常普遍的做法。专业公司在完成本环节相应服务后即可退出，下一环节的工作由另一专业服务公司接替。通过分工协作，可提高效率，缩短生产周期，分散开发风险，减少单一主体投资支出，并且专业公司也能在短时间内积累大量开发经验，有利于技术再创新。</w:t>
            </w:r>
          </w:p>
        </w:tc>
      </w:tr>
    </w:tbl>
    <w:p w:rsidR="00CA619C" w:rsidRDefault="00CA619C" w:rsidP="00CA619C">
      <w:pPr>
        <w:pStyle w:val="1"/>
        <w:spacing w:after="0"/>
        <w:ind w:left="480" w:firstLineChars="0" w:firstLine="0"/>
        <w:rPr>
          <w:rFonts w:ascii="宋体" w:hAnsi="宋体" w:cs="宋体" w:hint="eastAsia"/>
          <w:b/>
          <w:lang w:eastAsia="zh-CN"/>
        </w:rPr>
      </w:pPr>
    </w:p>
    <w:p w:rsidR="00CA619C" w:rsidRDefault="00CA619C" w:rsidP="00CA619C">
      <w:pPr>
        <w:pStyle w:val="Heading3"/>
        <w:numPr>
          <w:ilvl w:val="2"/>
          <w:numId w:val="1"/>
        </w:numPr>
        <w:tabs>
          <w:tab w:val="clear" w:pos="720"/>
        </w:tabs>
      </w:pPr>
      <w:bookmarkStart w:id="97" w:name="_Toc392853129"/>
      <w:r>
        <w:rPr>
          <w:rFonts w:hint="eastAsia"/>
        </w:rPr>
        <w:t>非盈利系统的能源专门技术研发机构</w:t>
      </w:r>
      <w:bookmarkEnd w:id="97"/>
    </w:p>
    <w:p w:rsidR="00CA619C" w:rsidRDefault="00CA619C" w:rsidP="00CA619C">
      <w:pPr>
        <w:ind w:firstLine="480"/>
      </w:pPr>
      <w:r>
        <w:rPr>
          <w:rFonts w:hint="eastAsia"/>
        </w:rPr>
        <w:t>目前，美国在新能源技术研究方面还形成了一套专门的技术研发机构，包括能源前沿研究中心（</w:t>
      </w:r>
      <w:r>
        <w:rPr>
          <w:rFonts w:hint="eastAsia"/>
        </w:rPr>
        <w:t>ENERGY FRONTIER RESEARCH CENTERS</w:t>
      </w:r>
      <w:r>
        <w:rPr>
          <w:rFonts w:hint="eastAsia"/>
        </w:rPr>
        <w:t>），能源创新中心（</w:t>
      </w:r>
      <w:r>
        <w:rPr>
          <w:rFonts w:hint="eastAsia"/>
        </w:rPr>
        <w:t>ENERGY  INNOVATION HUBS</w:t>
      </w:r>
      <w:r>
        <w:rPr>
          <w:rFonts w:hint="eastAsia"/>
        </w:rPr>
        <w:t>），高级研究计划局</w:t>
      </w:r>
      <w:r>
        <w:rPr>
          <w:rFonts w:hint="eastAsia"/>
        </w:rPr>
        <w:t>-</w:t>
      </w:r>
      <w:r>
        <w:rPr>
          <w:rFonts w:hint="eastAsia"/>
        </w:rPr>
        <w:t>能源（</w:t>
      </w:r>
      <w:r>
        <w:rPr>
          <w:rFonts w:hint="eastAsia"/>
        </w:rPr>
        <w:t>ARPA-E</w:t>
      </w:r>
      <w:r>
        <w:rPr>
          <w:rFonts w:hint="eastAsia"/>
        </w:rPr>
        <w:t>），制造能源系统合作（</w:t>
      </w:r>
      <w:r>
        <w:t>Manufacturing Energy System Partnerships</w:t>
      </w:r>
      <w:r>
        <w:rPr>
          <w:rFonts w:hint="eastAsia"/>
        </w:rPr>
        <w:t>），通过多学科、多研究阶段的综合与衔接为新能源技术提供最坚实的基础支持。</w:t>
      </w:r>
    </w:p>
    <w:p w:rsidR="00CA619C" w:rsidRDefault="00CA619C" w:rsidP="00CA619C">
      <w:pPr>
        <w:ind w:firstLine="480"/>
      </w:pPr>
      <w:r>
        <w:rPr>
          <w:rFonts w:hint="eastAsia"/>
        </w:rPr>
        <w:t>（</w:t>
      </w:r>
      <w:r>
        <w:rPr>
          <w:rFonts w:hint="eastAsia"/>
        </w:rPr>
        <w:t>1</w:t>
      </w:r>
      <w:r>
        <w:rPr>
          <w:rFonts w:hint="eastAsia"/>
        </w:rPr>
        <w:t>）能源前沿研究中心：利用能源前沿研究中心这个平台，将部门、院校与机构的研究人员组成研究小组，将阻碍技术突破的关键壁垒进行突破。</w:t>
      </w:r>
    </w:p>
    <w:p w:rsidR="00CA619C" w:rsidRDefault="00CA619C" w:rsidP="00CA619C">
      <w:pPr>
        <w:ind w:firstLine="480"/>
      </w:pPr>
      <w:r>
        <w:rPr>
          <w:rFonts w:hint="eastAsia"/>
        </w:rPr>
        <w:t>（</w:t>
      </w:r>
      <w:r>
        <w:rPr>
          <w:rFonts w:hint="eastAsia"/>
        </w:rPr>
        <w:t>2</w:t>
      </w:r>
      <w:r>
        <w:rPr>
          <w:rFonts w:hint="eastAsia"/>
        </w:rPr>
        <w:t>）能源创新中心：该中心主要关注新技术问题的研究与发展，将以探索为主的科学研究与转化工程研究同步综合，以便于商业化良机能够在技术开发生命周期中尽早显现。</w:t>
      </w:r>
    </w:p>
    <w:p w:rsidR="00CA619C" w:rsidRDefault="00CA619C" w:rsidP="00CA619C">
      <w:pPr>
        <w:ind w:firstLine="480"/>
      </w:pPr>
      <w:r>
        <w:rPr>
          <w:rFonts w:hint="eastAsia"/>
        </w:rPr>
        <w:t>（</w:t>
      </w:r>
      <w:r>
        <w:rPr>
          <w:rFonts w:hint="eastAsia"/>
        </w:rPr>
        <w:t>3</w:t>
      </w:r>
      <w:r>
        <w:rPr>
          <w:rFonts w:hint="eastAsia"/>
        </w:rPr>
        <w:t>）高级研究计划局</w:t>
      </w:r>
      <w:r>
        <w:rPr>
          <w:rFonts w:hint="eastAsia"/>
        </w:rPr>
        <w:t>-</w:t>
      </w:r>
      <w:r>
        <w:rPr>
          <w:rFonts w:hint="eastAsia"/>
        </w:rPr>
        <w:t>能源处：这是能源部里一个新的资助型机构，主要支持新技术，这里的新技术既不是新科学知识的派生理论，也不是改善的现存技术。</w:t>
      </w:r>
    </w:p>
    <w:p w:rsidR="00CA619C" w:rsidRDefault="00CA619C" w:rsidP="00CA619C">
      <w:pPr>
        <w:ind w:firstLine="480"/>
        <w:rPr>
          <w:rFonts w:ascii="宋体" w:hAnsi="宋体" w:cs="宋体" w:hint="eastAsia"/>
        </w:rPr>
      </w:pPr>
      <w:r>
        <w:rPr>
          <w:rFonts w:hint="eastAsia"/>
        </w:rPr>
        <w:t>（</w:t>
      </w:r>
      <w:r>
        <w:rPr>
          <w:rFonts w:hint="eastAsia"/>
        </w:rPr>
        <w:t>4</w:t>
      </w:r>
      <w:r>
        <w:rPr>
          <w:rFonts w:hint="eastAsia"/>
        </w:rPr>
        <w:t>）制造能源系统合作：主要执行并发技术发展与制造系统设计，为新的、低碳能源系统的商业规模应用降低成本和时间。</w:t>
      </w:r>
    </w:p>
    <w:p w:rsidR="00CA619C" w:rsidRDefault="00CA619C" w:rsidP="00CA619C">
      <w:pPr>
        <w:pStyle w:val="Heading3"/>
        <w:numPr>
          <w:ilvl w:val="2"/>
          <w:numId w:val="1"/>
        </w:numPr>
        <w:tabs>
          <w:tab w:val="clear" w:pos="720"/>
        </w:tabs>
        <w:rPr>
          <w:rFonts w:hint="eastAsia"/>
        </w:rPr>
      </w:pPr>
      <w:bookmarkStart w:id="98" w:name="_Toc392853130"/>
      <w:r>
        <w:rPr>
          <w:rFonts w:hint="eastAsia"/>
        </w:rPr>
        <w:t>产学研体系</w:t>
      </w:r>
      <w:bookmarkEnd w:id="98"/>
    </w:p>
    <w:p w:rsidR="00CA619C" w:rsidRDefault="00CA619C" w:rsidP="00CA619C">
      <w:pPr>
        <w:ind w:firstLine="480"/>
        <w:rPr>
          <w:rFonts w:hint="eastAsia"/>
        </w:rPr>
      </w:pPr>
      <w:r>
        <w:t>美国政府也十分重视强化企业、公私科研机构和大学之间的密切合作，积极构建产、学、研快速互动机制，大力推进科技创新和高科技产业发展。</w:t>
      </w:r>
    </w:p>
    <w:p w:rsidR="00CA619C" w:rsidRDefault="00CA619C" w:rsidP="00CA619C">
      <w:pPr>
        <w:ind w:firstLine="480"/>
        <w:rPr>
          <w:rFonts w:hint="eastAsia"/>
        </w:rPr>
      </w:pPr>
      <w:r>
        <w:t>1988</w:t>
      </w:r>
      <w:r>
        <w:t>年，美国根据《贸易和竞争法》设立了国家标准与技术研究院。该院通过设立区域制造技术转移中心，组织研究机构与企业共同实施先进技术，目前，全美各州都设有此类中心。</w:t>
      </w:r>
      <w:r>
        <w:rPr>
          <w:rStyle w:val="FootnoteReference"/>
          <w:rFonts w:ascii="宋体" w:hAnsi="宋体" w:cs="宋体"/>
        </w:rPr>
        <w:footnoteReference w:id="13"/>
      </w:r>
      <w:r>
        <w:rPr>
          <w:rFonts w:hint="eastAsia"/>
        </w:rPr>
        <w:t>美国强化企业技术创新主体地位</w:t>
      </w:r>
      <w:r>
        <w:rPr>
          <w:rFonts w:hint="eastAsia"/>
        </w:rPr>
        <w:t>,</w:t>
      </w:r>
      <w:r>
        <w:rPr>
          <w:rFonts w:hint="eastAsia"/>
        </w:rPr>
        <w:t>建立以企业为主体、市场为导向、产学研相结合的技术创新体系</w:t>
      </w:r>
      <w:r>
        <w:rPr>
          <w:rFonts w:hint="eastAsia"/>
        </w:rPr>
        <w:t>,</w:t>
      </w:r>
      <w:r>
        <w:rPr>
          <w:rFonts w:hint="eastAsia"/>
        </w:rPr>
        <w:t>形成自主创新的基本体制架构</w:t>
      </w:r>
      <w:r>
        <w:rPr>
          <w:rFonts w:hint="eastAsia"/>
        </w:rPr>
        <w:t>,</w:t>
      </w:r>
      <w:r>
        <w:rPr>
          <w:rFonts w:hint="eastAsia"/>
        </w:rPr>
        <w:t>使其依靠技术创新能力成为世界强国的经验值得我国深入研究与学习。</w:t>
      </w:r>
    </w:p>
    <w:p w:rsidR="00CA619C" w:rsidRDefault="00CA619C" w:rsidP="00CA619C">
      <w:pPr>
        <w:pStyle w:val="Heading2"/>
        <w:tabs>
          <w:tab w:val="clear" w:pos="575"/>
        </w:tabs>
      </w:pPr>
      <w:bookmarkStart w:id="99" w:name="_Toc392853131"/>
      <w:r>
        <w:rPr>
          <w:rFonts w:hint="eastAsia"/>
        </w:rPr>
        <w:t>创新技术转移及规模化路径</w:t>
      </w:r>
      <w:bookmarkEnd w:id="99"/>
    </w:p>
    <w:p w:rsidR="00CA619C" w:rsidRDefault="00CA619C" w:rsidP="00CA619C">
      <w:pPr>
        <w:pStyle w:val="Heading3"/>
        <w:numPr>
          <w:ilvl w:val="2"/>
          <w:numId w:val="1"/>
        </w:numPr>
        <w:tabs>
          <w:tab w:val="clear" w:pos="720"/>
        </w:tabs>
        <w:rPr>
          <w:rFonts w:hint="eastAsia"/>
        </w:rPr>
      </w:pPr>
      <w:bookmarkStart w:id="100" w:name="_Toc392853132"/>
      <w:r>
        <w:rPr>
          <w:rFonts w:hint="eastAsia"/>
        </w:rPr>
        <w:t>美国创新技术转移及路径</w:t>
      </w:r>
      <w:bookmarkEnd w:id="100"/>
    </w:p>
    <w:p w:rsidR="00CA619C" w:rsidRDefault="00CA619C" w:rsidP="00CA619C">
      <w:pPr>
        <w:ind w:firstLine="480"/>
        <w:rPr>
          <w:rFonts w:hint="eastAsia"/>
        </w:rPr>
      </w:pPr>
      <w:r>
        <w:t>美国政府十分重视联邦实验室科技成果转化问题，通过各种法案鼓励技术成果向产业界转移。</w:t>
      </w:r>
      <w:r>
        <w:rPr>
          <w:rStyle w:val="FootnoteReference"/>
          <w:rFonts w:ascii="宋体" w:hAnsi="宋体" w:cs="宋体"/>
        </w:rPr>
        <w:footnoteReference w:id="14"/>
      </w:r>
      <w:r>
        <w:rPr>
          <w:rFonts w:hint="eastAsia"/>
        </w:rPr>
        <w:t xml:space="preserve"> </w:t>
      </w:r>
      <w:r>
        <w:rPr>
          <w:rFonts w:hint="eastAsia"/>
        </w:rPr>
        <w:t>国家实验室的研究成果在美国可通过多种方式转让和产业化。主要方式有</w:t>
      </w:r>
      <w:r>
        <w:t>:</w:t>
      </w:r>
      <w:r>
        <w:rPr>
          <w:rFonts w:hint="eastAsia"/>
        </w:rPr>
        <w:t>采用商业管理</w:t>
      </w:r>
      <w:r>
        <w:rPr>
          <w:rFonts w:hint="eastAsia"/>
        </w:rPr>
        <w:t>/</w:t>
      </w:r>
      <w:r>
        <w:rPr>
          <w:rFonts w:hint="eastAsia"/>
        </w:rPr>
        <w:t>市场销售方式；优选客户；设施展示以吸引产业合作伙伴；与风险投资者，天使投资人，和其他资助来源建立关系等。</w:t>
      </w:r>
    </w:p>
    <w:p w:rsidR="00CA619C" w:rsidRDefault="00CA619C" w:rsidP="00CA619C">
      <w:pPr>
        <w:ind w:firstLine="480"/>
      </w:pPr>
      <w:r>
        <w:rPr>
          <w:rFonts w:hint="eastAsia"/>
        </w:rPr>
        <w:t>美国一旦明确新能源技术确实有实质的影响，会尽快将实验室发明转移到商业部门，使产品规模化生产与应用于公共领域将成为必然。为了推动商业化，能源部与私人企业以及其他联邦机构联合起来将技术从“概念验证阶段”推动至“全面应用部署阶段”。</w:t>
      </w:r>
    </w:p>
    <w:p w:rsidR="00CA619C" w:rsidRDefault="00CA619C" w:rsidP="00CA619C">
      <w:pPr>
        <w:ind w:firstLine="480"/>
        <w:rPr>
          <w:rFonts w:hint="eastAsia"/>
        </w:rPr>
      </w:pPr>
      <w:r>
        <w:rPr>
          <w:rFonts w:hint="eastAsia"/>
        </w:rPr>
        <w:t>美国政府鼓励并推动产业与国家实验室之间增加承包合同、降低技术转让成本，为那些愿意为实验室中衍生的技术进行早期开发与应用而买单的人或机构提供帮助。美国能源部也在寻求能够在目前的政策体制框架中实施的创新（合同商主导的）技术转让机制，鼓励私人企业通过</w:t>
      </w:r>
      <w:r>
        <w:rPr>
          <w:rFonts w:hint="eastAsia"/>
        </w:rPr>
        <w:t>SBIR</w:t>
      </w:r>
      <w:r>
        <w:rPr>
          <w:rFonts w:hint="eastAsia"/>
        </w:rPr>
        <w:t>，小型企业技术转让（</w:t>
      </w:r>
      <w:r>
        <w:rPr>
          <w:rFonts w:hint="eastAsia"/>
        </w:rPr>
        <w:t>STTR</w:t>
      </w:r>
      <w:r>
        <w:t>）</w:t>
      </w:r>
      <w:r>
        <w:rPr>
          <w:rFonts w:hint="eastAsia"/>
        </w:rPr>
        <w:t>，</w:t>
      </w:r>
      <w:r>
        <w:rPr>
          <w:rFonts w:hint="eastAsia"/>
        </w:rPr>
        <w:t>ARPA-E</w:t>
      </w:r>
      <w:r>
        <w:rPr>
          <w:rFonts w:hint="eastAsia"/>
        </w:rPr>
        <w:t>，合作研究与发展协议（</w:t>
      </w:r>
      <w:r>
        <w:t>CR</w:t>
      </w:r>
      <w:r>
        <w:rPr>
          <w:rFonts w:hint="eastAsia"/>
        </w:rPr>
        <w:t>A</w:t>
      </w:r>
      <w:r>
        <w:t>DA</w:t>
      </w:r>
      <w:r>
        <w:rPr>
          <w:rFonts w:hint="eastAsia"/>
        </w:rPr>
        <w:t>），以及贷款担保等方式将实验室的技术与研究成果转移到市场中去</w:t>
      </w:r>
      <w:r>
        <w:rPr>
          <w:rStyle w:val="FootnoteReference"/>
          <w:rFonts w:ascii="宋体" w:hAnsi="宋体" w:cs="宋体"/>
        </w:rPr>
        <w:footnoteReference w:id="15"/>
      </w:r>
      <w:r>
        <w:rPr>
          <w:rFonts w:hint="eastAsia"/>
        </w:rPr>
        <w:t>。</w:t>
      </w:r>
    </w:p>
    <w:p w:rsidR="00CA619C" w:rsidRDefault="00CA619C" w:rsidP="00CA619C">
      <w:pPr>
        <w:ind w:firstLine="480"/>
        <w:jc w:val="center"/>
      </w:pPr>
      <w:r>
        <w:rPr>
          <w:noProof/>
          <w:lang w:eastAsia="en-US"/>
        </w:rPr>
        <w:drawing>
          <wp:inline distT="0" distB="0" distL="0" distR="0">
            <wp:extent cx="5076190" cy="2207260"/>
            <wp:effectExtent l="0" t="0" r="3810" b="2540"/>
            <wp:docPr id="30" name="图片 14" descr="无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无标题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76190" cy="2207260"/>
                    </a:xfrm>
                    <a:prstGeom prst="rect">
                      <a:avLst/>
                    </a:prstGeom>
                    <a:noFill/>
                    <a:ln>
                      <a:noFill/>
                    </a:ln>
                  </pic:spPr>
                </pic:pic>
              </a:graphicData>
            </a:graphic>
          </wp:inline>
        </w:drawing>
      </w:r>
    </w:p>
    <w:p w:rsidR="00CA619C" w:rsidRDefault="00CA619C" w:rsidP="00CA619C">
      <w:pPr>
        <w:pStyle w:val="a3"/>
        <w:tabs>
          <w:tab w:val="left" w:pos="425"/>
        </w:tabs>
        <w:rPr>
          <w:rFonts w:hint="eastAsia"/>
        </w:rPr>
      </w:pPr>
      <w:bookmarkStart w:id="101" w:name="_Toc343438116"/>
      <w:bookmarkStart w:id="102" w:name="_Toc392853214"/>
      <w:r>
        <w:rPr>
          <w:rFonts w:hint="eastAsia"/>
        </w:rPr>
        <w:t>美国将大学和公共研究机构的技术转移到企业的路径及方式</w:t>
      </w:r>
      <w:bookmarkEnd w:id="101"/>
      <w:bookmarkEnd w:id="102"/>
    </w:p>
    <w:p w:rsidR="00CA619C" w:rsidRDefault="00CA619C" w:rsidP="00CA619C">
      <w:pPr>
        <w:pStyle w:val="a2"/>
        <w:ind w:left="840"/>
        <w:rPr>
          <w:rFonts w:hint="eastAsia"/>
        </w:rPr>
      </w:pPr>
      <w:r>
        <w:rPr>
          <w:rFonts w:hint="eastAsia"/>
        </w:rPr>
        <w:t>（资料来源：</w:t>
      </w:r>
      <w:r>
        <w:rPr>
          <w:rFonts w:hint="eastAsia"/>
        </w:rPr>
        <w:t xml:space="preserve"> Advisor for International Programs, Corey Cohn,DOE Office of Science</w:t>
      </w:r>
      <w:r>
        <w:rPr>
          <w:rFonts w:hint="eastAsia"/>
        </w:rPr>
        <w:t>，）</w:t>
      </w:r>
    </w:p>
    <w:p w:rsidR="00CA619C" w:rsidRDefault="00CA619C" w:rsidP="00CA619C">
      <w:pPr>
        <w:ind w:firstLine="480"/>
        <w:rPr>
          <w:rFonts w:ascii="宋体" w:hAnsi="宋体"/>
          <w:color w:val="000000"/>
          <w:szCs w:val="21"/>
        </w:rPr>
      </w:pPr>
      <w:r>
        <w:rPr>
          <w:rFonts w:ascii="宋体" w:hAnsi="宋体" w:cs="宋体" w:hint="eastAsia"/>
        </w:rPr>
        <w:t>例如，美国在储能技术方面的革新与转移也遵循了这一路径，如位于美国宾夕法尼亚州匹兹堡市Axion Power，该公司开发的先进铅酸电池简称为铅碳电池。宾夕法尼亚州能源当局就曾拨款248650美元资助其进行相关技术研发</w:t>
      </w:r>
      <w:r>
        <w:rPr>
          <w:rStyle w:val="FootnoteReference"/>
          <w:rFonts w:ascii="宋体" w:hAnsi="宋体" w:cs="宋体"/>
        </w:rPr>
        <w:footnoteReference w:id="16"/>
      </w:r>
      <w:r>
        <w:rPr>
          <w:rFonts w:ascii="宋体" w:hAnsi="宋体" w:cs="宋体" w:hint="eastAsia"/>
          <w:sz w:val="28"/>
          <w:szCs w:val="28"/>
        </w:rPr>
        <w:t>。</w:t>
      </w:r>
    </w:p>
    <w:p w:rsidR="00CA619C" w:rsidRDefault="00CA619C" w:rsidP="00CA619C">
      <w:pPr>
        <w:ind w:firstLine="480"/>
        <w:jc w:val="center"/>
      </w:pPr>
      <w:r>
        <w:rPr>
          <w:noProof/>
          <w:lang w:eastAsia="en-US"/>
        </w:rPr>
        <w:drawing>
          <wp:inline distT="0" distB="0" distL="0" distR="0">
            <wp:extent cx="5265420" cy="2254250"/>
            <wp:effectExtent l="0" t="0" r="0" b="6350"/>
            <wp:docPr id="31" name="图片 23" descr="无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无标题1"/>
                    <pic:cNvPicPr>
                      <a:picLocks noChangeAspect="1" noChangeArrowheads="1"/>
                    </pic:cNvPicPr>
                  </pic:nvPicPr>
                  <pic:blipFill>
                    <a:blip r:embed="rId46">
                      <a:extLst>
                        <a:ext uri="{28A0092B-C50C-407E-A947-70E740481C1C}">
                          <a14:useLocalDpi xmlns:a14="http://schemas.microsoft.com/office/drawing/2010/main" val="0"/>
                        </a:ext>
                      </a:extLst>
                    </a:blip>
                    <a:srcRect b="17136"/>
                    <a:stretch>
                      <a:fillRect/>
                    </a:stretch>
                  </pic:blipFill>
                  <pic:spPr bwMode="auto">
                    <a:xfrm>
                      <a:off x="0" y="0"/>
                      <a:ext cx="5265420" cy="2254250"/>
                    </a:xfrm>
                    <a:prstGeom prst="rect">
                      <a:avLst/>
                    </a:prstGeom>
                    <a:noFill/>
                    <a:ln>
                      <a:noFill/>
                    </a:ln>
                  </pic:spPr>
                </pic:pic>
              </a:graphicData>
            </a:graphic>
          </wp:inline>
        </w:drawing>
      </w:r>
    </w:p>
    <w:p w:rsidR="00CA619C" w:rsidRDefault="00CA619C" w:rsidP="00CA619C">
      <w:pPr>
        <w:pStyle w:val="a3"/>
        <w:tabs>
          <w:tab w:val="left" w:pos="425"/>
        </w:tabs>
      </w:pPr>
      <w:bookmarkStart w:id="103" w:name="_Toc343438117"/>
      <w:bookmarkStart w:id="104" w:name="_Toc392853215"/>
      <w:r>
        <w:rPr>
          <w:rFonts w:hint="eastAsia"/>
        </w:rPr>
        <w:t>能源创新—如何将技术规模化</w:t>
      </w:r>
      <w:bookmarkEnd w:id="103"/>
      <w:bookmarkEnd w:id="104"/>
    </w:p>
    <w:p w:rsidR="00CA619C" w:rsidRDefault="00CA619C" w:rsidP="00CA619C">
      <w:pPr>
        <w:pStyle w:val="a2"/>
        <w:ind w:left="840"/>
        <w:rPr>
          <w:rFonts w:hint="eastAsia"/>
        </w:rPr>
      </w:pPr>
      <w:r>
        <w:rPr>
          <w:rFonts w:hint="eastAsia"/>
        </w:rPr>
        <w:t>（资料来源：</w:t>
      </w:r>
      <w:r>
        <w:rPr>
          <w:rFonts w:hint="eastAsia"/>
        </w:rPr>
        <w:t xml:space="preserve"> Advisor for International Programs, Corey Cohn,DOE Office of Science</w:t>
      </w:r>
      <w:r>
        <w:rPr>
          <w:rFonts w:hint="eastAsia"/>
        </w:rPr>
        <w:t>，）</w:t>
      </w:r>
    </w:p>
    <w:p w:rsidR="00CA619C" w:rsidRDefault="00CA619C" w:rsidP="00CA619C">
      <w:pPr>
        <w:ind w:firstLine="519"/>
        <w:rPr>
          <w:rFonts w:hint="eastAsia"/>
          <w:b/>
          <w:bCs/>
        </w:rPr>
      </w:pPr>
      <w:r>
        <w:rPr>
          <w:rFonts w:hint="eastAsia"/>
          <w:b/>
          <w:bCs/>
        </w:rPr>
        <w:t>案例：美国伯克利国家实验室（</w:t>
      </w:r>
      <w:r>
        <w:rPr>
          <w:rFonts w:hint="eastAsia"/>
          <w:b/>
          <w:bCs/>
        </w:rPr>
        <w:t>LBNL</w:t>
      </w:r>
      <w:r>
        <w:rPr>
          <w:rFonts w:hint="eastAsia"/>
          <w:b/>
          <w:bCs/>
        </w:rPr>
        <w:t>）的创新技术成果转移及路径</w:t>
      </w:r>
    </w:p>
    <w:p w:rsidR="00CA619C" w:rsidRDefault="00CA619C" w:rsidP="00CA619C">
      <w:pPr>
        <w:ind w:firstLine="480"/>
        <w:rPr>
          <w:rFonts w:hint="eastAsia"/>
        </w:rPr>
      </w:pPr>
      <w:r>
        <w:rPr>
          <w:rFonts w:hint="eastAsia"/>
        </w:rPr>
        <w:t>美国劳伦斯伯克利国家实验室（</w:t>
      </w:r>
      <w:r>
        <w:t>LBNL</w:t>
      </w:r>
      <w:r>
        <w:rPr>
          <w:rFonts w:hint="eastAsia"/>
        </w:rPr>
        <w:t>）主要采用</w:t>
      </w:r>
      <w:r>
        <w:t>发放使用</w:t>
      </w:r>
      <w:r>
        <w:t>LBNL</w:t>
      </w:r>
      <w:r>
        <w:t>技术许可证</w:t>
      </w:r>
      <w:r>
        <w:rPr>
          <w:rFonts w:hint="eastAsia"/>
        </w:rPr>
        <w:t>和合作的方式向外转让技术。</w:t>
      </w:r>
    </w:p>
    <w:p w:rsidR="00CA619C" w:rsidRDefault="00CA619C" w:rsidP="00CA619C">
      <w:pPr>
        <w:ind w:firstLine="480"/>
        <w:rPr>
          <w:rFonts w:hint="eastAsia"/>
        </w:rPr>
      </w:pPr>
      <w:r>
        <w:t>LBNL</w:t>
      </w:r>
      <w:r>
        <w:t>向工业部门发放使用其开发的软件和技术许可证，以将其发明推向市场，造福公众。</w:t>
      </w:r>
      <w:r>
        <w:t>LBNL</w:t>
      </w:r>
      <w:r>
        <w:t>寻找能够安排必要的财政、研发、制造、营销和管理能力，并承诺能成功</w:t>
      </w:r>
      <w:r>
        <w:t>LBNL</w:t>
      </w:r>
      <w:r>
        <w:t>的创新进行商业化的获取许可证的人。</w:t>
      </w:r>
    </w:p>
    <w:p w:rsidR="00CA619C" w:rsidRDefault="00CA619C" w:rsidP="00CA619C">
      <w:pPr>
        <w:ind w:firstLine="480"/>
        <w:rPr>
          <w:rFonts w:hint="eastAsia"/>
        </w:rPr>
      </w:pPr>
      <w:r>
        <w:t>LBNL</w:t>
      </w:r>
      <w:r>
        <w:t>的目标是：通过向能够将</w:t>
      </w:r>
      <w:r>
        <w:t>LBNL</w:t>
      </w:r>
      <w:r>
        <w:t>的发明技术成功实现商品化的公司发放使用许可证，促进其技术的利用，以造福社会；支持通过创造而取得的收入，通过发放许可证所得收入来支持未来实验室的研究和确定工业合作伙伴赞助实验室的研究来支持实验室的研究任务；</w:t>
      </w:r>
      <w:r>
        <w:t xml:space="preserve"> </w:t>
      </w:r>
      <w:r>
        <w:t>为实验室和发明者获取合理的回报和认可；</w:t>
      </w:r>
      <w:r>
        <w:t xml:space="preserve"> </w:t>
      </w:r>
      <w:r>
        <w:t>促进区域和国家经济的发展。</w:t>
      </w:r>
    </w:p>
    <w:p w:rsidR="00CA619C" w:rsidRDefault="00CA619C" w:rsidP="00CA619C">
      <w:pPr>
        <w:ind w:firstLine="480"/>
        <w:rPr>
          <w:rFonts w:hint="eastAsia"/>
        </w:rPr>
      </w:pPr>
      <w:r>
        <w:rPr>
          <w:rFonts w:hint="eastAsia"/>
        </w:rPr>
        <w:t>同时，</w:t>
      </w:r>
      <w:r>
        <w:t>LBNL</w:t>
      </w:r>
      <w:r>
        <w:rPr>
          <w:rFonts w:hint="eastAsia"/>
        </w:rPr>
        <w:t>的</w:t>
      </w:r>
      <w:r>
        <w:t>一些最创新的技术转移涉及到与工业部门的合作项目。在合作研究中，美国能源部和工业部门可根据合作研究和开发协议（</w:t>
      </w:r>
      <w:r>
        <w:t>CRADA</w:t>
      </w:r>
      <w:r>
        <w:t>）共同赞助一个项目。费用、人员、设施、设备，或研究能力可以共享，互惠互利。这给工业部门提供了一个充分利用研发资金和工业部门不可能进行的研究的极佳方式。</w:t>
      </w:r>
      <w:r>
        <w:t xml:space="preserve"> LBNL</w:t>
      </w:r>
      <w:r>
        <w:t>还开展一些工业部门赞助的研究，并提供众多国家</w:t>
      </w:r>
      <w:r>
        <w:rPr>
          <w:rFonts w:hint="eastAsia"/>
        </w:rPr>
        <w:t>研究</w:t>
      </w:r>
      <w:r>
        <w:t>设施。</w:t>
      </w:r>
    </w:p>
    <w:p w:rsidR="00CA619C" w:rsidRPr="00E3695D" w:rsidRDefault="00CA619C" w:rsidP="00CA619C">
      <w:pPr>
        <w:ind w:firstLine="480"/>
        <w:rPr>
          <w:rFonts w:hint="eastAsia"/>
        </w:rPr>
      </w:pPr>
      <w:r>
        <w:rPr>
          <w:rFonts w:hint="eastAsia"/>
        </w:rPr>
        <w:t>综上所述，可见，美国能源部的这套技术革新架构有力的保障了能源产业技术在研发早期时的资金与政策支持，促成了其在能源领域持续的技术领导力。</w:t>
      </w:r>
      <w:r>
        <w:rPr>
          <w:rStyle w:val="FootnoteReference"/>
          <w:rFonts w:ascii="宋体" w:hAnsi="宋体" w:cs="宋体"/>
        </w:rPr>
        <w:footnoteReference w:id="17"/>
      </w:r>
    </w:p>
    <w:p w:rsidR="00CA619C" w:rsidRDefault="00CA619C" w:rsidP="00CA619C">
      <w:pPr>
        <w:ind w:firstLine="480"/>
        <w:rPr>
          <w:rFonts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CA619C" w:rsidTr="00CA619C">
        <w:tc>
          <w:tcPr>
            <w:tcW w:w="9288" w:type="dxa"/>
          </w:tcPr>
          <w:p w:rsidR="00CA619C" w:rsidRDefault="00CA619C" w:rsidP="00CA619C">
            <w:pPr>
              <w:pStyle w:val="Caption"/>
              <w:keepNext/>
              <w:ind w:firstLine="482"/>
              <w:rPr>
                <w:rFonts w:ascii="宋体" w:eastAsia="宋体" w:hAnsi="宋体" w:hint="eastAsia"/>
                <w:b/>
                <w:i/>
                <w:color w:val="000000"/>
                <w:sz w:val="24"/>
                <w:szCs w:val="24"/>
              </w:rPr>
            </w:pPr>
            <w:bookmarkStart w:id="105" w:name="_Toc315684254"/>
            <w:bookmarkStart w:id="106" w:name="_Toc11031"/>
            <w:r>
              <w:rPr>
                <w:rFonts w:ascii="宋体" w:eastAsia="宋体" w:hAnsi="宋体" w:hint="eastAsia"/>
                <w:b/>
                <w:i/>
                <w:color w:val="000000"/>
                <w:sz w:val="24"/>
                <w:szCs w:val="24"/>
              </w:rPr>
              <w:t>专栏   劳伦斯伯克利国家实验室（</w:t>
            </w:r>
            <w:r>
              <w:rPr>
                <w:rFonts w:ascii="宋体" w:eastAsia="宋体" w:hAnsi="宋体"/>
                <w:b/>
                <w:i/>
                <w:color w:val="000000"/>
                <w:sz w:val="24"/>
                <w:szCs w:val="24"/>
              </w:rPr>
              <w:t>LBNL</w:t>
            </w:r>
            <w:r>
              <w:rPr>
                <w:rFonts w:ascii="宋体" w:eastAsia="宋体" w:hAnsi="宋体" w:hint="eastAsia"/>
                <w:b/>
                <w:i/>
                <w:color w:val="000000"/>
                <w:sz w:val="24"/>
                <w:szCs w:val="24"/>
              </w:rPr>
              <w:t>）</w:t>
            </w:r>
            <w:bookmarkEnd w:id="105"/>
            <w:bookmarkEnd w:id="106"/>
          </w:p>
          <w:p w:rsidR="00CA619C" w:rsidRDefault="00CA619C" w:rsidP="00CA619C">
            <w:pPr>
              <w:ind w:firstLine="480"/>
              <w:rPr>
                <w:rFonts w:hint="eastAsia"/>
              </w:rPr>
            </w:pPr>
            <w:r>
              <w:rPr>
                <w:rFonts w:hint="eastAsia"/>
              </w:rPr>
              <w:t>劳伦斯伯克利国家实验室是美国能源部下设的第一个国家实验室，位于美国加州大学伯克利分校，占地</w:t>
            </w:r>
            <w:r>
              <w:rPr>
                <w:rFonts w:hint="eastAsia"/>
              </w:rPr>
              <w:t>81</w:t>
            </w:r>
            <w:r>
              <w:rPr>
                <w:rFonts w:hint="eastAsia"/>
              </w:rPr>
              <w:t>公顷，毗邻旧金山湾。它隶属于美国能源部，由伯克利代管。</w:t>
            </w:r>
          </w:p>
          <w:p w:rsidR="00CA619C" w:rsidRDefault="00CA619C" w:rsidP="00CA619C">
            <w:pPr>
              <w:ind w:firstLine="480"/>
              <w:rPr>
                <w:rFonts w:hint="eastAsia"/>
              </w:rPr>
            </w:pPr>
            <w:r>
              <w:t>LBNL</w:t>
            </w:r>
            <w:r>
              <w:rPr>
                <w:rFonts w:hint="eastAsia"/>
              </w:rPr>
              <w:t>是</w:t>
            </w:r>
            <w:r>
              <w:rPr>
                <w:rFonts w:hint="eastAsia"/>
              </w:rPr>
              <w:t>1939</w:t>
            </w:r>
            <w:r>
              <w:rPr>
                <w:rFonts w:hint="eastAsia"/>
              </w:rPr>
              <w:t>年诺贝尔物理学奖得主欧内斯特</w:t>
            </w:r>
            <w:r>
              <w:rPr>
                <w:rFonts w:hint="eastAsia"/>
              </w:rPr>
              <w:t>.</w:t>
            </w:r>
            <w:r>
              <w:rPr>
                <w:rFonts w:hint="eastAsia"/>
              </w:rPr>
              <w:t>奥兰多</w:t>
            </w:r>
            <w:r>
              <w:rPr>
                <w:rFonts w:hint="eastAsia"/>
              </w:rPr>
              <w:t>.</w:t>
            </w:r>
            <w:r>
              <w:rPr>
                <w:rFonts w:hint="eastAsia"/>
              </w:rPr>
              <w:t>劳伦斯先生于</w:t>
            </w:r>
            <w:r>
              <w:rPr>
                <w:rFonts w:hint="eastAsia"/>
              </w:rPr>
              <w:t>1931</w:t>
            </w:r>
            <w:r>
              <w:rPr>
                <w:rFonts w:hint="eastAsia"/>
              </w:rPr>
              <w:t>年建立的，早期关注于高能物理领域的研究，建起了第一批电子直线加速器，发现了一系列超重元素，开辟了放射性同位素、重离子科学等研究方向，成为美国乃至世界核物理学的圣地。它是美国一系列著名实验室：</w:t>
            </w:r>
            <w:r>
              <w:rPr>
                <w:rFonts w:hint="eastAsia"/>
              </w:rPr>
              <w:t>Livermore</w:t>
            </w:r>
            <w:r>
              <w:rPr>
                <w:rFonts w:hint="eastAsia"/>
              </w:rPr>
              <w:t>，</w:t>
            </w:r>
            <w:r>
              <w:rPr>
                <w:rFonts w:hint="eastAsia"/>
              </w:rPr>
              <w:t>Los Alamos</w:t>
            </w:r>
            <w:r>
              <w:rPr>
                <w:rFonts w:hint="eastAsia"/>
              </w:rPr>
              <w:t>，</w:t>
            </w:r>
            <w:r>
              <w:rPr>
                <w:rFonts w:hint="eastAsia"/>
              </w:rPr>
              <w:t>Brookhaven</w:t>
            </w:r>
            <w:r>
              <w:rPr>
                <w:rFonts w:hint="eastAsia"/>
              </w:rPr>
              <w:t>等实验室的先驱，也是世界上成百所加速器实验室的楷模。劳伦斯伯克利国家实验室现在研究的领域非常宽泛，下设</w:t>
            </w:r>
            <w:r>
              <w:rPr>
                <w:rFonts w:hint="eastAsia"/>
              </w:rPr>
              <w:t>18</w:t>
            </w:r>
            <w:r>
              <w:rPr>
                <w:rFonts w:hint="eastAsia"/>
              </w:rPr>
              <w:t>个研究所和研究中心，涵盖了高能物理、地球科学、环境科学、计算机科学、能源科学、材料科学等多个学科。</w:t>
            </w:r>
          </w:p>
          <w:p w:rsidR="00CA619C" w:rsidRDefault="00CA619C" w:rsidP="00CA619C">
            <w:pPr>
              <w:ind w:firstLine="480"/>
              <w:rPr>
                <w:rFonts w:ascii="宋体" w:hAnsi="宋体" w:hint="eastAsia"/>
                <w:color w:val="000000"/>
              </w:rPr>
            </w:pPr>
            <w:r>
              <w:t>LBNL</w:t>
            </w:r>
            <w:r>
              <w:rPr>
                <w:rFonts w:hint="eastAsia"/>
              </w:rPr>
              <w:t>拥有正式员工</w:t>
            </w:r>
            <w:r>
              <w:rPr>
                <w:rFonts w:hint="eastAsia"/>
              </w:rPr>
              <w:t>2902</w:t>
            </w:r>
            <w:r>
              <w:rPr>
                <w:rFonts w:hint="eastAsia"/>
              </w:rPr>
              <w:t>名（包括科学人员</w:t>
            </w:r>
            <w:r>
              <w:rPr>
                <w:rFonts w:hint="eastAsia"/>
              </w:rPr>
              <w:t>708</w:t>
            </w:r>
            <w:r>
              <w:rPr>
                <w:rFonts w:hint="eastAsia"/>
              </w:rPr>
              <w:t>名，技术员工</w:t>
            </w:r>
            <w:r>
              <w:rPr>
                <w:rFonts w:hint="eastAsia"/>
              </w:rPr>
              <w:t>1548</w:t>
            </w:r>
            <w:r>
              <w:rPr>
                <w:rFonts w:hint="eastAsia"/>
              </w:rPr>
              <w:t>名，支持员工</w:t>
            </w:r>
            <w:r>
              <w:rPr>
                <w:rFonts w:hint="eastAsia"/>
              </w:rPr>
              <w:t>646</w:t>
            </w:r>
            <w:r>
              <w:rPr>
                <w:rFonts w:hint="eastAsia"/>
              </w:rPr>
              <w:t>名），教学研究人员</w:t>
            </w:r>
            <w:r>
              <w:rPr>
                <w:rFonts w:hint="eastAsia"/>
              </w:rPr>
              <w:t>278</w:t>
            </w:r>
            <w:r>
              <w:rPr>
                <w:rFonts w:hint="eastAsia"/>
              </w:rPr>
              <w:t>名，博士后研究</w:t>
            </w:r>
            <w:r>
              <w:rPr>
                <w:rFonts w:hint="eastAsia"/>
              </w:rPr>
              <w:t>407</w:t>
            </w:r>
            <w:r>
              <w:rPr>
                <w:rFonts w:hint="eastAsia"/>
              </w:rPr>
              <w:t>名，研究生</w:t>
            </w:r>
            <w:r>
              <w:rPr>
                <w:rFonts w:hint="eastAsia"/>
              </w:rPr>
              <w:t>314</w:t>
            </w:r>
            <w:r>
              <w:rPr>
                <w:rFonts w:hint="eastAsia"/>
              </w:rPr>
              <w:t>名，大学学生</w:t>
            </w:r>
            <w:r>
              <w:rPr>
                <w:rFonts w:hint="eastAsia"/>
              </w:rPr>
              <w:t>151</w:t>
            </w:r>
            <w:r>
              <w:rPr>
                <w:rFonts w:hint="eastAsia"/>
              </w:rPr>
              <w:t>名，登记的实验室使用者</w:t>
            </w:r>
            <w:r>
              <w:rPr>
                <w:rFonts w:hint="eastAsia"/>
              </w:rPr>
              <w:t>6010</w:t>
            </w:r>
            <w:r>
              <w:rPr>
                <w:rFonts w:hint="eastAsia"/>
              </w:rPr>
              <w:t>名，访问科学家</w:t>
            </w:r>
            <w:r>
              <w:rPr>
                <w:rFonts w:hint="eastAsia"/>
              </w:rPr>
              <w:t>1544</w:t>
            </w:r>
            <w:r>
              <w:rPr>
                <w:rFonts w:hint="eastAsia"/>
              </w:rPr>
              <w:t>名。</w:t>
            </w:r>
            <w:r>
              <w:t>LBNL</w:t>
            </w:r>
            <w:r>
              <w:rPr>
                <w:rFonts w:hint="eastAsia"/>
              </w:rPr>
              <w:t>建立以来，共培养了</w:t>
            </w:r>
            <w:r>
              <w:rPr>
                <w:rFonts w:hint="eastAsia"/>
              </w:rPr>
              <w:t>5</w:t>
            </w:r>
            <w:r>
              <w:rPr>
                <w:rFonts w:hint="eastAsia"/>
              </w:rPr>
              <w:t>位诺贝尔物理学奖得主和</w:t>
            </w:r>
            <w:r>
              <w:rPr>
                <w:rFonts w:hint="eastAsia"/>
              </w:rPr>
              <w:t>4</w:t>
            </w:r>
            <w:r>
              <w:rPr>
                <w:rFonts w:hint="eastAsia"/>
              </w:rPr>
              <w:t>位诺贝尔化学奖得主。</w:t>
            </w:r>
          </w:p>
          <w:p w:rsidR="00CA619C" w:rsidRDefault="00CA619C" w:rsidP="00CA619C">
            <w:pPr>
              <w:ind w:firstLineChars="196" w:firstLine="445"/>
              <w:rPr>
                <w:rFonts w:ascii="宋体" w:hAnsi="宋体" w:hint="eastAsia"/>
                <w:b/>
                <w:color w:val="000000"/>
              </w:rPr>
            </w:pPr>
            <w:r>
              <w:rPr>
                <w:rFonts w:ascii="宋体" w:hAnsi="宋体" w:hint="eastAsia"/>
                <w:b/>
                <w:color w:val="000000"/>
              </w:rPr>
              <w:t>LBNL的预算与资金分配</w:t>
            </w:r>
          </w:p>
          <w:p w:rsidR="00CA619C" w:rsidRDefault="00CA619C" w:rsidP="00CA619C">
            <w:pPr>
              <w:ind w:firstLine="480"/>
              <w:rPr>
                <w:rFonts w:ascii="仿宋" w:eastAsia="仿宋" w:hAnsi="仿宋" w:hint="eastAsia"/>
                <w:color w:val="000000"/>
                <w:szCs w:val="28"/>
              </w:rPr>
            </w:pPr>
            <w:r>
              <w:rPr>
                <w:rFonts w:hint="eastAsia"/>
              </w:rPr>
              <w:t>2010</w:t>
            </w:r>
            <w:r>
              <w:rPr>
                <w:rFonts w:hint="eastAsia"/>
              </w:rPr>
              <w:t>年</w:t>
            </w:r>
            <w:r>
              <w:t>LBNL</w:t>
            </w:r>
            <w:r>
              <w:rPr>
                <w:rFonts w:hint="eastAsia"/>
              </w:rPr>
              <w:t>预算</w:t>
            </w:r>
            <w:r>
              <w:rPr>
                <w:rFonts w:hint="eastAsia"/>
              </w:rPr>
              <w:t>7.067</w:t>
            </w:r>
            <w:r>
              <w:rPr>
                <w:rFonts w:hint="eastAsia"/>
              </w:rPr>
              <w:t>亿美元，另外根据《美国复苏与再投资法案》可另获得</w:t>
            </w:r>
            <w:r>
              <w:rPr>
                <w:rFonts w:hint="eastAsia"/>
              </w:rPr>
              <w:t>1.04</w:t>
            </w:r>
            <w:r>
              <w:rPr>
                <w:rFonts w:hint="eastAsia"/>
              </w:rPr>
              <w:t>亿美元的研究经费。</w:t>
            </w:r>
          </w:p>
          <w:p w:rsidR="00CA619C" w:rsidRDefault="00CA619C" w:rsidP="00CA619C">
            <w:pPr>
              <w:jc w:val="center"/>
              <w:rPr>
                <w:rFonts w:ascii="仿宋" w:eastAsia="仿宋" w:hAnsi="仿宋" w:hint="eastAsia"/>
                <w:color w:val="000000"/>
                <w:sz w:val="28"/>
                <w:szCs w:val="28"/>
              </w:rPr>
            </w:pPr>
            <w:r>
              <w:rPr>
                <w:rFonts w:ascii="仿宋" w:eastAsia="仿宋" w:hAnsi="仿宋" w:hint="eastAsia"/>
                <w:noProof/>
                <w:color w:val="000000"/>
                <w:sz w:val="28"/>
                <w:szCs w:val="28"/>
                <w:lang w:eastAsia="en-US"/>
              </w:rPr>
              <w:drawing>
                <wp:inline distT="0" distB="0" distL="0" distR="0">
                  <wp:extent cx="4540250" cy="2884805"/>
                  <wp:effectExtent l="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l="371" b="2689"/>
                          <a:stretch>
                            <a:fillRect/>
                          </a:stretch>
                        </pic:blipFill>
                        <pic:spPr bwMode="auto">
                          <a:xfrm>
                            <a:off x="0" y="0"/>
                            <a:ext cx="4540250" cy="2884805"/>
                          </a:xfrm>
                          <a:prstGeom prst="rect">
                            <a:avLst/>
                          </a:prstGeom>
                          <a:noFill/>
                          <a:ln>
                            <a:noFill/>
                          </a:ln>
                        </pic:spPr>
                      </pic:pic>
                    </a:graphicData>
                  </a:graphic>
                </wp:inline>
              </w:drawing>
            </w:r>
          </w:p>
          <w:p w:rsidR="00CA619C" w:rsidRDefault="00CA619C" w:rsidP="00CA619C">
            <w:pPr>
              <w:pStyle w:val="a3"/>
              <w:rPr>
                <w:rFonts w:hint="eastAsia"/>
              </w:rPr>
            </w:pPr>
            <w:bookmarkStart w:id="107" w:name="_Toc315684214"/>
            <w:bookmarkStart w:id="108" w:name="_Toc392853216"/>
            <w:r>
              <w:rPr>
                <w:rFonts w:hint="eastAsia"/>
              </w:rPr>
              <w:t>美国劳伦斯伯克利国家实验室</w:t>
            </w:r>
            <w:r>
              <w:rPr>
                <w:rFonts w:hint="eastAsia"/>
              </w:rPr>
              <w:t>2010</w:t>
            </w:r>
            <w:r>
              <w:rPr>
                <w:rFonts w:hint="eastAsia"/>
              </w:rPr>
              <w:t>年的资金分配</w:t>
            </w:r>
            <w:bookmarkEnd w:id="107"/>
            <w:bookmarkEnd w:id="108"/>
          </w:p>
          <w:p w:rsidR="00CA619C" w:rsidRDefault="00CA619C" w:rsidP="00CA619C">
            <w:pPr>
              <w:pStyle w:val="a2"/>
              <w:ind w:left="840"/>
              <w:rPr>
                <w:rFonts w:hint="eastAsia"/>
              </w:rPr>
            </w:pPr>
            <w:r>
              <w:rPr>
                <w:rFonts w:hint="eastAsia"/>
              </w:rPr>
              <w:t>(</w:t>
            </w:r>
            <w:r>
              <w:rPr>
                <w:rFonts w:hint="eastAsia"/>
              </w:rPr>
              <w:t>资料来源：劳伦斯伯克利国家实验室与美国能源部网站</w:t>
            </w:r>
            <w:r>
              <w:rPr>
                <w:rFonts w:hint="eastAsia"/>
              </w:rPr>
              <w:t>)</w:t>
            </w:r>
          </w:p>
        </w:tc>
      </w:tr>
    </w:tbl>
    <w:p w:rsidR="00CA619C" w:rsidRDefault="00CA619C" w:rsidP="00CA619C">
      <w:pPr>
        <w:ind w:firstLine="480"/>
        <w:rPr>
          <w:rFonts w:hint="eastAsia"/>
        </w:rPr>
      </w:pPr>
    </w:p>
    <w:p w:rsidR="00CA619C" w:rsidRDefault="00CA619C" w:rsidP="00CA619C">
      <w:pPr>
        <w:pStyle w:val="Heading3"/>
        <w:numPr>
          <w:ilvl w:val="2"/>
          <w:numId w:val="1"/>
        </w:numPr>
        <w:tabs>
          <w:tab w:val="clear" w:pos="720"/>
        </w:tabs>
      </w:pPr>
      <w:bookmarkStart w:id="109" w:name="_Toc392853133"/>
      <w:r>
        <w:rPr>
          <w:rFonts w:hint="eastAsia"/>
        </w:rPr>
        <w:t>政府专门设立示范项目推动创新技术产业化</w:t>
      </w:r>
      <w:bookmarkEnd w:id="109"/>
    </w:p>
    <w:p w:rsidR="00CA619C" w:rsidRDefault="00CA619C" w:rsidP="00CA619C">
      <w:pPr>
        <w:ind w:firstLine="480"/>
      </w:pPr>
      <w:r>
        <w:rPr>
          <w:rFonts w:hint="eastAsia"/>
        </w:rPr>
        <w:t>美国政府支持示范项目建设以推动创新技术产业化。全球对清洁能源领域研发和示范的投资主要来自美国和日本。美国</w:t>
      </w:r>
      <w:r>
        <w:rPr>
          <w:rFonts w:hint="eastAsia"/>
        </w:rPr>
        <w:t>DOE</w:t>
      </w:r>
      <w:r>
        <w:rPr>
          <w:rFonts w:hint="eastAsia"/>
        </w:rPr>
        <w:t>的“能源效率和可再生能源计划部门</w:t>
      </w:r>
      <w:r>
        <w:rPr>
          <w:rFonts w:hint="eastAsia"/>
        </w:rPr>
        <w:t>(EERE)</w:t>
      </w:r>
      <w:r>
        <w:rPr>
          <w:rFonts w:hint="eastAsia"/>
        </w:rPr>
        <w:t>”是美国关注清洁能源技术研发和示范工作中的首要部门。受益于“复苏与再投资法案”（</w:t>
      </w:r>
      <w:r>
        <w:rPr>
          <w:rFonts w:hint="eastAsia"/>
        </w:rPr>
        <w:t>ARRA</w:t>
      </w:r>
      <w:r>
        <w:rPr>
          <w:rFonts w:hint="eastAsia"/>
        </w:rPr>
        <w:t>），美国用于清洁能源领域的研发和示范的投资额自</w:t>
      </w:r>
      <w:r>
        <w:rPr>
          <w:rFonts w:hint="eastAsia"/>
        </w:rPr>
        <w:t>2004</w:t>
      </w:r>
      <w:r>
        <w:rPr>
          <w:rFonts w:hint="eastAsia"/>
        </w:rPr>
        <w:t>年以来基本上一直处于增长态势，且由</w:t>
      </w:r>
      <w:r>
        <w:rPr>
          <w:rFonts w:hint="eastAsia"/>
        </w:rPr>
        <w:t>2004</w:t>
      </w:r>
      <w:r>
        <w:rPr>
          <w:rFonts w:hint="eastAsia"/>
        </w:rPr>
        <w:t>年的</w:t>
      </w:r>
      <w:r>
        <w:rPr>
          <w:rFonts w:hint="eastAsia"/>
        </w:rPr>
        <w:t>15</w:t>
      </w:r>
      <w:r>
        <w:rPr>
          <w:rFonts w:hint="eastAsia"/>
        </w:rPr>
        <w:t>亿美元增加到</w:t>
      </w:r>
      <w:r>
        <w:rPr>
          <w:rFonts w:hint="eastAsia"/>
        </w:rPr>
        <w:t>2009</w:t>
      </w:r>
      <w:r>
        <w:rPr>
          <w:rFonts w:hint="eastAsia"/>
        </w:rPr>
        <w:t>年的</w:t>
      </w:r>
      <w:r>
        <w:rPr>
          <w:rFonts w:hint="eastAsia"/>
        </w:rPr>
        <w:t>70</w:t>
      </w:r>
      <w:r>
        <w:rPr>
          <w:rFonts w:hint="eastAsia"/>
        </w:rPr>
        <w:t>亿美元，</w:t>
      </w:r>
      <w:r>
        <w:rPr>
          <w:rFonts w:hint="eastAsia"/>
        </w:rPr>
        <w:t>2009</w:t>
      </w:r>
      <w:r>
        <w:rPr>
          <w:rFonts w:hint="eastAsia"/>
        </w:rPr>
        <w:t>年</w:t>
      </w:r>
      <w:r>
        <w:rPr>
          <w:rFonts w:hint="eastAsia"/>
        </w:rPr>
        <w:t xml:space="preserve">ARRA </w:t>
      </w:r>
      <w:r>
        <w:rPr>
          <w:rFonts w:hint="eastAsia"/>
        </w:rPr>
        <w:t>资金中约</w:t>
      </w:r>
      <w:r>
        <w:rPr>
          <w:rFonts w:hint="eastAsia"/>
        </w:rPr>
        <w:t>30</w:t>
      </w:r>
      <w:r>
        <w:rPr>
          <w:rFonts w:hint="eastAsia"/>
        </w:rPr>
        <w:t>亿美元投向了可再生能源和提高能源效率方面；</w:t>
      </w:r>
      <w:r>
        <w:rPr>
          <w:rFonts w:hint="eastAsia"/>
        </w:rPr>
        <w:t>2011</w:t>
      </w:r>
      <w:r>
        <w:rPr>
          <w:rFonts w:hint="eastAsia"/>
        </w:rPr>
        <w:t>年，美国在清洁能源领域的研发和示范资金额虽有下降，但仍保持较高的</w:t>
      </w:r>
      <w:r>
        <w:rPr>
          <w:rFonts w:hint="eastAsia"/>
        </w:rPr>
        <w:t>40</w:t>
      </w:r>
      <w:r>
        <w:rPr>
          <w:rFonts w:hint="eastAsia"/>
        </w:rPr>
        <w:t>亿美元水平；</w:t>
      </w:r>
      <w:r>
        <w:rPr>
          <w:rFonts w:hint="eastAsia"/>
        </w:rPr>
        <w:t>2012</w:t>
      </w:r>
      <w:r>
        <w:rPr>
          <w:rFonts w:hint="eastAsia"/>
        </w:rPr>
        <w:t>年，美国向清洁能源和核能领域投入的</w:t>
      </w:r>
      <w:r>
        <w:rPr>
          <w:rFonts w:hint="eastAsia"/>
        </w:rPr>
        <w:t>R&amp;D</w:t>
      </w:r>
      <w:r>
        <w:rPr>
          <w:rFonts w:hint="eastAsia"/>
        </w:rPr>
        <w:t>约为</w:t>
      </w:r>
      <w:r>
        <w:rPr>
          <w:rFonts w:hint="eastAsia"/>
        </w:rPr>
        <w:t>40</w:t>
      </w:r>
      <w:r>
        <w:rPr>
          <w:rFonts w:hint="eastAsia"/>
        </w:rPr>
        <w:t>亿美元，仍然是全球在该领域投资的主要国家。例如，</w:t>
      </w:r>
      <w:r>
        <w:t>2009</w:t>
      </w:r>
      <w:r>
        <w:rPr>
          <w:rFonts w:hint="eastAsia"/>
        </w:rPr>
        <w:t>年</w:t>
      </w:r>
      <w:r>
        <w:t>10</w:t>
      </w:r>
      <w:r>
        <w:rPr>
          <w:rFonts w:hint="eastAsia"/>
        </w:rPr>
        <w:t>月美国能源部制定的关于智能电网资助计划中，安排储能技术项目达</w:t>
      </w:r>
      <w:r>
        <w:t>19</w:t>
      </w:r>
      <w:r>
        <w:rPr>
          <w:rFonts w:hint="eastAsia"/>
        </w:rPr>
        <w:t>个。美国能源部高级研究项目计划署</w:t>
      </w:r>
      <w:r>
        <w:t>ARPA-E</w:t>
      </w:r>
      <w:r>
        <w:rPr>
          <w:rFonts w:hint="eastAsia"/>
        </w:rPr>
        <w:t>（成立于</w:t>
      </w:r>
      <w:r>
        <w:t>2007</w:t>
      </w:r>
      <w:r>
        <w:rPr>
          <w:rFonts w:hint="eastAsia"/>
        </w:rPr>
        <w:t>年）在</w:t>
      </w:r>
      <w:r>
        <w:t>2011</w:t>
      </w:r>
      <w:r>
        <w:rPr>
          <w:rFonts w:hint="eastAsia"/>
        </w:rPr>
        <w:t>财年资助了</w:t>
      </w:r>
      <w:r>
        <w:t>12</w:t>
      </w:r>
      <w:r>
        <w:rPr>
          <w:rFonts w:hint="eastAsia"/>
        </w:rPr>
        <w:t>个储能项目，项目总金额</w:t>
      </w:r>
      <w:r>
        <w:t>2.76</w:t>
      </w:r>
      <w:r>
        <w:rPr>
          <w:rFonts w:hint="eastAsia"/>
        </w:rPr>
        <w:t>亿元，涉及企业、研究所、大学等总共</w:t>
      </w:r>
      <w:r>
        <w:t>20</w:t>
      </w:r>
      <w:r>
        <w:rPr>
          <w:rFonts w:hint="eastAsia"/>
        </w:rPr>
        <w:t>多个单位，包含有项目示范（例如波音公司承担的低成本、高能密度飞轮储能示范）、高新技术研究（例如</w:t>
      </w:r>
      <w:r>
        <w:t>ABB</w:t>
      </w:r>
      <w:r>
        <w:rPr>
          <w:rFonts w:hint="eastAsia"/>
        </w:rPr>
        <w:t>公司的超导储能技术研究）等。</w:t>
      </w:r>
    </w:p>
    <w:p w:rsidR="00CA619C" w:rsidRDefault="00CA619C" w:rsidP="00CA619C">
      <w:pPr>
        <w:pStyle w:val="Heading3"/>
        <w:numPr>
          <w:ilvl w:val="2"/>
          <w:numId w:val="1"/>
        </w:numPr>
        <w:tabs>
          <w:tab w:val="clear" w:pos="720"/>
        </w:tabs>
      </w:pPr>
      <w:bookmarkStart w:id="110" w:name="_Toc392853134"/>
      <w:r>
        <w:rPr>
          <w:rFonts w:hint="eastAsia"/>
        </w:rPr>
        <w:t>风险投资推动创新技术产业化</w:t>
      </w:r>
      <w:bookmarkEnd w:id="110"/>
    </w:p>
    <w:p w:rsidR="00CA619C" w:rsidRDefault="00CA619C" w:rsidP="00CA619C">
      <w:pPr>
        <w:ind w:firstLine="480"/>
        <w:rPr>
          <w:rFonts w:hint="eastAsia"/>
        </w:rPr>
      </w:pPr>
      <w:r>
        <w:rPr>
          <w:rFonts w:hint="eastAsia"/>
        </w:rPr>
        <w:t>风险投资是除了政府资助以外，另一个能强有力的支持新兴技术实现产业化的措施。</w:t>
      </w:r>
    </w:p>
    <w:p w:rsidR="00CA619C" w:rsidRDefault="00CA619C" w:rsidP="00CA619C">
      <w:pPr>
        <w:ind w:firstLine="480"/>
      </w:pPr>
      <w:r>
        <w:rPr>
          <w:rFonts w:hint="eastAsia"/>
        </w:rPr>
        <w:t>美国</w:t>
      </w:r>
      <w:r>
        <w:t>Sun Catalytix</w:t>
      </w:r>
      <w:r>
        <w:rPr>
          <w:rFonts w:hint="eastAsia"/>
        </w:rPr>
        <w:t>公司正在测试一款使用金属络合物做电解质的廉价的液流电池，为间歇性风能和太阳能提供长达数小时的能量备份，有望大幅降低电网储能成本，增加电池的使用寿命和安全性。公司预计该系统将会在</w:t>
      </w:r>
      <w:r>
        <w:t>2015-2016</w:t>
      </w:r>
      <w:r>
        <w:rPr>
          <w:rFonts w:hint="eastAsia"/>
        </w:rPr>
        <w:t>年推向市场，届时成本将低于每千瓦时</w:t>
      </w:r>
      <w:r>
        <w:t>300</w:t>
      </w:r>
      <w:r>
        <w:rPr>
          <w:rFonts w:hint="eastAsia"/>
        </w:rPr>
        <w:t>美元。目前该公司已经募得</w:t>
      </w:r>
      <w:r>
        <w:t>1650</w:t>
      </w:r>
      <w:r>
        <w:rPr>
          <w:rFonts w:hint="eastAsia"/>
        </w:rPr>
        <w:t>万美元的风险资金，并仍在积极争取其他风险投资和合作伙伴，以生产更大规模的电池产品。类似的，</w:t>
      </w:r>
    </w:p>
    <w:p w:rsidR="00CA619C" w:rsidRDefault="00CA619C" w:rsidP="00CA619C">
      <w:pPr>
        <w:ind w:firstLine="480"/>
      </w:pPr>
      <w:r>
        <w:t>SustainX</w:t>
      </w:r>
      <w:r>
        <w:rPr>
          <w:rFonts w:hint="eastAsia"/>
        </w:rPr>
        <w:t>公司于</w:t>
      </w:r>
      <w:r>
        <w:t>2013</w:t>
      </w:r>
      <w:r>
        <w:rPr>
          <w:rFonts w:hint="eastAsia"/>
        </w:rPr>
        <w:t>年</w:t>
      </w:r>
      <w:r>
        <w:t>8</w:t>
      </w:r>
      <w:r>
        <w:rPr>
          <w:rFonts w:hint="eastAsia"/>
        </w:rPr>
        <w:t>月发布了一款绝热压缩空气储能系统，发电机功率为</w:t>
      </w:r>
      <w:r>
        <w:t>1.5MW</w:t>
      </w:r>
      <w:r>
        <w:rPr>
          <w:rFonts w:hint="eastAsia"/>
        </w:rPr>
        <w:t>，热效率较现有技术有显著的提高。而</w:t>
      </w:r>
      <w:r>
        <w:t>SustainX</w:t>
      </w:r>
      <w:r>
        <w:rPr>
          <w:rFonts w:hint="eastAsia"/>
        </w:rPr>
        <w:t>不仅曾获得过国家科学基金的支持，研发了一个</w:t>
      </w:r>
      <w:r>
        <w:t>40kw</w:t>
      </w:r>
      <w:r>
        <w:rPr>
          <w:rFonts w:hint="eastAsia"/>
        </w:rPr>
        <w:t>的储能原型，也获得过美国能源部</w:t>
      </w:r>
      <w:r>
        <w:t>540</w:t>
      </w:r>
      <w:r>
        <w:rPr>
          <w:rFonts w:hint="eastAsia"/>
        </w:rPr>
        <w:t>万美元的激励补助，还从市场上获得过</w:t>
      </w:r>
      <w:r>
        <w:t>2500</w:t>
      </w:r>
      <w:r>
        <w:rPr>
          <w:rFonts w:hint="eastAsia"/>
        </w:rPr>
        <w:t>万美元的风险投资。</w:t>
      </w:r>
    </w:p>
    <w:p w:rsidR="00CA619C" w:rsidRDefault="00CA619C" w:rsidP="00CA619C">
      <w:pPr>
        <w:pStyle w:val="Heading3"/>
        <w:numPr>
          <w:ilvl w:val="2"/>
          <w:numId w:val="1"/>
        </w:numPr>
        <w:tabs>
          <w:tab w:val="clear" w:pos="720"/>
        </w:tabs>
      </w:pPr>
      <w:bookmarkStart w:id="111" w:name="_Toc392853135"/>
      <w:r>
        <w:rPr>
          <w:rFonts w:hint="eastAsia"/>
        </w:rPr>
        <w:t>行业协会推进创新技术产业化</w:t>
      </w:r>
      <w:bookmarkEnd w:id="111"/>
    </w:p>
    <w:p w:rsidR="00CA619C" w:rsidRDefault="00CA619C" w:rsidP="00CA619C">
      <w:pPr>
        <w:ind w:firstLine="480"/>
        <w:rPr>
          <w:rFonts w:hint="eastAsia"/>
        </w:rPr>
      </w:pPr>
      <w:r>
        <w:rPr>
          <w:rFonts w:hint="eastAsia"/>
        </w:rPr>
        <w:t>美国新兴能源技术实现产业的另一个主要途径就是政府通过行业协会等机构支持关键技术研发的的企业，推进技术产业化。事实证明，美国通过行业协会资助新兴能源技术公司进行技术创新，将更容易把握关键技术挑战，以及产业核心问题的所在，更容易实现有针对性的专门技术产业化。</w:t>
      </w:r>
    </w:p>
    <w:p w:rsidR="00CA619C" w:rsidRDefault="00CA619C" w:rsidP="00CA619C">
      <w:pPr>
        <w:ind w:firstLine="480"/>
        <w:rPr>
          <w:rFonts w:hint="eastAsia"/>
        </w:rPr>
      </w:pPr>
      <w:r>
        <w:rPr>
          <w:rFonts w:hint="eastAsia"/>
        </w:rPr>
        <w:t>在储能产业中，美国就有数家储能产业协会，如储能协会（</w:t>
      </w:r>
      <w:r>
        <w:t>ESA</w:t>
      </w:r>
      <w:r>
        <w:rPr>
          <w:rFonts w:hint="eastAsia"/>
        </w:rPr>
        <w:t>，位于华盛顿），加州储能协会（</w:t>
      </w:r>
      <w:r>
        <w:t>CNESA</w:t>
      </w:r>
      <w:r>
        <w:rPr>
          <w:rFonts w:hint="eastAsia"/>
        </w:rPr>
        <w:t>，位于洛杉矶），纽约电池和储能技术协会（</w:t>
      </w:r>
      <w:r>
        <w:t>NY-BEST</w:t>
      </w:r>
      <w:r>
        <w:rPr>
          <w:rFonts w:hint="eastAsia"/>
        </w:rPr>
        <w:t>，位于纽约）等，目前这些储能行业协会在推动储能技术产业化方面都发挥着重要作用。例如，纽约州政府就曾划拨给</w:t>
      </w:r>
      <w:r>
        <w:t>NY-BEST</w:t>
      </w:r>
      <w:r>
        <w:rPr>
          <w:rFonts w:hint="eastAsia"/>
        </w:rPr>
        <w:t>共</w:t>
      </w:r>
      <w:r>
        <w:t>1440</w:t>
      </w:r>
      <w:r>
        <w:rPr>
          <w:rFonts w:hint="eastAsia"/>
        </w:rPr>
        <w:t>万美元的补助资金，用以资助该协会下的</w:t>
      </w:r>
      <w:r>
        <w:t>12</w:t>
      </w:r>
      <w:r>
        <w:rPr>
          <w:rFonts w:hint="eastAsia"/>
        </w:rPr>
        <w:t>个会员单位的先进能源项目（第一轮补助资金资助了</w:t>
      </w:r>
      <w:r>
        <w:t>6</w:t>
      </w:r>
      <w:r>
        <w:rPr>
          <w:rFonts w:hint="eastAsia"/>
        </w:rPr>
        <w:t>家公司共</w:t>
      </w:r>
      <w:r>
        <w:t>1180</w:t>
      </w:r>
      <w:r>
        <w:rPr>
          <w:rFonts w:hint="eastAsia"/>
        </w:rPr>
        <w:t>万美元，第二轮资助资金又资助了</w:t>
      </w:r>
      <w:r>
        <w:t>6</w:t>
      </w:r>
      <w:r>
        <w:rPr>
          <w:rFonts w:hint="eastAsia"/>
        </w:rPr>
        <w:t>家公司共</w:t>
      </w:r>
      <w:r>
        <w:t>140</w:t>
      </w:r>
      <w:r>
        <w:rPr>
          <w:rFonts w:hint="eastAsia"/>
        </w:rPr>
        <w:t>万美元），包括储能技术的研发、技术解决方案等，该项资助已经对纽约州的储能产业产生巨大的推动作用。</w:t>
      </w:r>
    </w:p>
    <w:p w:rsidR="00CA619C" w:rsidRDefault="00CA619C" w:rsidP="00CA619C">
      <w:pPr>
        <w:ind w:firstLine="480"/>
        <w:rPr>
          <w:rFonts w:hint="eastAsia"/>
        </w:rPr>
      </w:pPr>
    </w:p>
    <w:p w:rsidR="00CA619C" w:rsidRDefault="00CA619C" w:rsidP="00CA619C">
      <w:pPr>
        <w:pStyle w:val="a"/>
        <w:rPr>
          <w:rFonts w:hint="eastAsia"/>
        </w:rPr>
      </w:pPr>
      <w:bookmarkStart w:id="112" w:name="_Toc9946"/>
      <w:bookmarkStart w:id="113" w:name="_Toc2699"/>
      <w:r>
        <w:rPr>
          <w:rFonts w:hint="eastAsia"/>
        </w:rPr>
        <w:br w:type="page"/>
      </w:r>
      <w:bookmarkStart w:id="114" w:name="_Toc392853328"/>
      <w:r>
        <w:rPr>
          <w:rFonts w:hint="eastAsia"/>
        </w:rPr>
        <w:t>纽约州政府通过行业协会资助的储能技术创新活动</w:t>
      </w:r>
      <w:bookmarkEnd w:id="112"/>
      <w:bookmarkEnd w:id="113"/>
      <w:bookmarkEnd w:id="1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0"/>
        <w:gridCol w:w="1416"/>
        <w:gridCol w:w="3245"/>
        <w:gridCol w:w="2605"/>
      </w:tblGrid>
      <w:tr w:rsidR="00CA619C" w:rsidTr="00CA619C">
        <w:tc>
          <w:tcPr>
            <w:tcW w:w="2130" w:type="dxa"/>
            <w:vAlign w:val="center"/>
          </w:tcPr>
          <w:p w:rsidR="00CA619C" w:rsidRDefault="00CA619C" w:rsidP="00CA619C">
            <w:pPr>
              <w:spacing w:afterLines="50" w:after="156"/>
              <w:jc w:val="center"/>
              <w:rPr>
                <w:rFonts w:hint="eastAsia"/>
                <w:b/>
              </w:rPr>
            </w:pPr>
            <w:r>
              <w:rPr>
                <w:rFonts w:hint="eastAsia"/>
                <w:b/>
              </w:rPr>
              <w:t>被资助企业</w:t>
            </w:r>
          </w:p>
        </w:tc>
        <w:tc>
          <w:tcPr>
            <w:tcW w:w="1416" w:type="dxa"/>
            <w:vAlign w:val="center"/>
          </w:tcPr>
          <w:p w:rsidR="00CA619C" w:rsidRDefault="00CA619C" w:rsidP="00CA619C">
            <w:pPr>
              <w:spacing w:afterLines="50" w:after="156"/>
              <w:jc w:val="center"/>
              <w:rPr>
                <w:rFonts w:hint="eastAsia"/>
                <w:b/>
              </w:rPr>
            </w:pPr>
            <w:r>
              <w:rPr>
                <w:rFonts w:hint="eastAsia"/>
                <w:b/>
              </w:rPr>
              <w:t>资助金额</w:t>
            </w:r>
          </w:p>
          <w:p w:rsidR="00CA619C" w:rsidRDefault="00CA619C" w:rsidP="00CA619C">
            <w:pPr>
              <w:spacing w:afterLines="50" w:after="156"/>
              <w:jc w:val="center"/>
              <w:rPr>
                <w:rFonts w:hint="eastAsia"/>
                <w:b/>
              </w:rPr>
            </w:pPr>
            <w:r>
              <w:rPr>
                <w:rFonts w:hint="eastAsia"/>
                <w:b/>
              </w:rPr>
              <w:t>（美元）</w:t>
            </w:r>
          </w:p>
        </w:tc>
        <w:tc>
          <w:tcPr>
            <w:tcW w:w="3245" w:type="dxa"/>
            <w:vAlign w:val="center"/>
          </w:tcPr>
          <w:p w:rsidR="00CA619C" w:rsidRDefault="00CA619C" w:rsidP="00CA619C">
            <w:pPr>
              <w:spacing w:afterLines="50" w:after="156"/>
              <w:jc w:val="center"/>
              <w:rPr>
                <w:rFonts w:hint="eastAsia"/>
                <w:b/>
              </w:rPr>
            </w:pPr>
            <w:r>
              <w:rPr>
                <w:rFonts w:hint="eastAsia"/>
                <w:b/>
              </w:rPr>
              <w:t>研发内容</w:t>
            </w:r>
            <w:r>
              <w:rPr>
                <w:rFonts w:hint="eastAsia"/>
                <w:b/>
              </w:rPr>
              <w:t>/</w:t>
            </w:r>
            <w:r>
              <w:rPr>
                <w:rFonts w:hint="eastAsia"/>
                <w:b/>
              </w:rPr>
              <w:t>方向</w:t>
            </w:r>
          </w:p>
        </w:tc>
        <w:tc>
          <w:tcPr>
            <w:tcW w:w="2605" w:type="dxa"/>
            <w:vAlign w:val="center"/>
          </w:tcPr>
          <w:p w:rsidR="00CA619C" w:rsidRDefault="00CA619C" w:rsidP="00CA619C">
            <w:pPr>
              <w:spacing w:afterLines="50" w:after="156"/>
              <w:jc w:val="center"/>
              <w:rPr>
                <w:rFonts w:hint="eastAsia"/>
                <w:b/>
              </w:rPr>
            </w:pPr>
            <w:r>
              <w:rPr>
                <w:rFonts w:hint="eastAsia"/>
                <w:b/>
              </w:rPr>
              <w:t>备注</w:t>
            </w:r>
          </w:p>
        </w:tc>
      </w:tr>
      <w:tr w:rsidR="00CA619C" w:rsidTr="00CA619C">
        <w:tc>
          <w:tcPr>
            <w:tcW w:w="2130" w:type="dxa"/>
            <w:vAlign w:val="center"/>
          </w:tcPr>
          <w:p w:rsidR="00CA619C" w:rsidRDefault="00CA619C" w:rsidP="00CA619C">
            <w:pPr>
              <w:spacing w:afterLines="50" w:after="156"/>
              <w:rPr>
                <w:rFonts w:hint="eastAsia"/>
              </w:rPr>
            </w:pPr>
            <w:r>
              <w:rPr>
                <w:rFonts w:hint="eastAsia"/>
              </w:rPr>
              <w:t>电池储能系统</w:t>
            </w:r>
            <w:r>
              <w:t>(BESS)</w:t>
            </w:r>
            <w:r>
              <w:rPr>
                <w:rFonts w:hint="eastAsia"/>
              </w:rPr>
              <w:t>技术公司</w:t>
            </w:r>
            <w:r>
              <w:t>(</w:t>
            </w:r>
            <w:r>
              <w:rPr>
                <w:rFonts w:hint="eastAsia"/>
              </w:rPr>
              <w:t>位于纽约州奥尔巴尼市</w:t>
            </w:r>
            <w:r>
              <w:t>)</w:t>
            </w:r>
          </w:p>
        </w:tc>
        <w:tc>
          <w:tcPr>
            <w:tcW w:w="1416" w:type="dxa"/>
            <w:vAlign w:val="center"/>
          </w:tcPr>
          <w:p w:rsidR="00CA619C" w:rsidRDefault="00CA619C" w:rsidP="00CA619C">
            <w:pPr>
              <w:spacing w:afterLines="50" w:after="156"/>
              <w:rPr>
                <w:rFonts w:hint="eastAsia"/>
              </w:rPr>
            </w:pPr>
            <w:r>
              <w:rPr>
                <w:rFonts w:hint="eastAsia"/>
              </w:rPr>
              <w:t>$</w:t>
            </w:r>
            <w:r>
              <w:t>218000</w:t>
            </w:r>
            <w:r>
              <w:rPr>
                <w:rFonts w:hint="eastAsia"/>
              </w:rPr>
              <w:t xml:space="preserve"> </w:t>
            </w:r>
          </w:p>
        </w:tc>
        <w:tc>
          <w:tcPr>
            <w:tcW w:w="3245" w:type="dxa"/>
            <w:vAlign w:val="center"/>
          </w:tcPr>
          <w:p w:rsidR="00CA619C" w:rsidRDefault="00CA619C" w:rsidP="00CA619C">
            <w:pPr>
              <w:spacing w:afterLines="50" w:after="156"/>
              <w:rPr>
                <w:rFonts w:hint="eastAsia"/>
              </w:rPr>
            </w:pPr>
            <w:r>
              <w:rPr>
                <w:rFonts w:hint="eastAsia"/>
              </w:rPr>
              <w:t>旨在开发和商业化的一种由石墨烯材料做成的锂离子电池电极。</w:t>
            </w:r>
          </w:p>
        </w:tc>
        <w:tc>
          <w:tcPr>
            <w:tcW w:w="2605" w:type="dxa"/>
            <w:vAlign w:val="center"/>
          </w:tcPr>
          <w:p w:rsidR="00CA619C" w:rsidRDefault="00CA619C" w:rsidP="00CA619C">
            <w:pPr>
              <w:spacing w:afterLines="50" w:after="156"/>
              <w:rPr>
                <w:rFonts w:hint="eastAsia"/>
              </w:rPr>
            </w:pPr>
            <w:r>
              <w:t>BESS</w:t>
            </w:r>
            <w:r>
              <w:rPr>
                <w:rFonts w:hint="eastAsia"/>
              </w:rPr>
              <w:t>技术公司通过与纽约州立大学学院纳米科学与工程</w:t>
            </w:r>
            <w:r>
              <w:t>(CNSE)</w:t>
            </w:r>
            <w:r>
              <w:rPr>
                <w:rFonts w:hint="eastAsia"/>
              </w:rPr>
              <w:t>和伦斯勒理工学院合作</w:t>
            </w:r>
          </w:p>
        </w:tc>
      </w:tr>
      <w:tr w:rsidR="00CA619C" w:rsidTr="00CA619C">
        <w:tc>
          <w:tcPr>
            <w:tcW w:w="2130" w:type="dxa"/>
            <w:vAlign w:val="center"/>
          </w:tcPr>
          <w:p w:rsidR="00CA619C" w:rsidRDefault="00CA619C" w:rsidP="00CA619C">
            <w:pPr>
              <w:spacing w:afterLines="50" w:after="156"/>
              <w:rPr>
                <w:rFonts w:hint="eastAsia"/>
              </w:rPr>
            </w:pPr>
            <w:r>
              <w:t>Bettergy</w:t>
            </w:r>
            <w:r>
              <w:rPr>
                <w:rFonts w:hint="eastAsia"/>
              </w:rPr>
              <w:t>公司</w:t>
            </w:r>
          </w:p>
          <w:p w:rsidR="00CA619C" w:rsidRDefault="00CA619C" w:rsidP="00CA619C">
            <w:pPr>
              <w:spacing w:afterLines="50" w:after="156"/>
              <w:rPr>
                <w:rFonts w:hint="eastAsia"/>
              </w:rPr>
            </w:pPr>
            <w:r>
              <w:t>(</w:t>
            </w:r>
            <w:r>
              <w:rPr>
                <w:rFonts w:hint="eastAsia"/>
              </w:rPr>
              <w:t>位于</w:t>
            </w:r>
            <w:r>
              <w:t>Peekskill</w:t>
            </w:r>
            <w:r>
              <w:rPr>
                <w:rFonts w:hint="eastAsia"/>
              </w:rPr>
              <w:t>市</w:t>
            </w:r>
            <w:r>
              <w:t>)</w:t>
            </w:r>
          </w:p>
        </w:tc>
        <w:tc>
          <w:tcPr>
            <w:tcW w:w="1416" w:type="dxa"/>
            <w:vAlign w:val="center"/>
          </w:tcPr>
          <w:p w:rsidR="00CA619C" w:rsidRDefault="00CA619C" w:rsidP="00CA619C">
            <w:pPr>
              <w:spacing w:afterLines="50" w:after="156"/>
              <w:rPr>
                <w:rFonts w:hint="eastAsia"/>
              </w:rPr>
            </w:pPr>
            <w:r>
              <w:rPr>
                <w:rFonts w:hint="eastAsia"/>
              </w:rPr>
              <w:t>$</w:t>
            </w:r>
            <w:r>
              <w:t>189000</w:t>
            </w:r>
          </w:p>
        </w:tc>
        <w:tc>
          <w:tcPr>
            <w:tcW w:w="3245" w:type="dxa"/>
            <w:vAlign w:val="center"/>
          </w:tcPr>
          <w:p w:rsidR="00CA619C" w:rsidRDefault="00CA619C" w:rsidP="00CA619C">
            <w:pPr>
              <w:spacing w:afterLines="50" w:after="156"/>
              <w:rPr>
                <w:rFonts w:hint="eastAsia"/>
              </w:rPr>
            </w:pPr>
            <w:r>
              <w:rPr>
                <w:rFonts w:hint="eastAsia"/>
              </w:rPr>
              <w:t>计划改进和示范一个低成本的锌空气液流电池技术，该技术可用于电网储能，包括存储可再生电力等</w:t>
            </w:r>
          </w:p>
        </w:tc>
        <w:tc>
          <w:tcPr>
            <w:tcW w:w="2605" w:type="dxa"/>
            <w:vAlign w:val="center"/>
          </w:tcPr>
          <w:p w:rsidR="00CA619C" w:rsidRDefault="00CA619C" w:rsidP="00CA619C">
            <w:pPr>
              <w:spacing w:afterLines="50" w:after="156"/>
              <w:rPr>
                <w:rFonts w:hint="eastAsia"/>
              </w:rPr>
            </w:pPr>
          </w:p>
        </w:tc>
      </w:tr>
      <w:tr w:rsidR="00CA619C" w:rsidTr="00CA619C">
        <w:tc>
          <w:tcPr>
            <w:tcW w:w="2130" w:type="dxa"/>
            <w:vAlign w:val="center"/>
          </w:tcPr>
          <w:p w:rsidR="00CA619C" w:rsidRDefault="00CA619C" w:rsidP="00CA619C">
            <w:pPr>
              <w:spacing w:afterLines="50" w:after="156"/>
              <w:rPr>
                <w:rFonts w:hint="eastAsia"/>
              </w:rPr>
            </w:pPr>
            <w:r>
              <w:t>Custom Electronics</w:t>
            </w:r>
            <w:r>
              <w:rPr>
                <w:rFonts w:hint="eastAsia"/>
              </w:rPr>
              <w:t>公司</w:t>
            </w:r>
          </w:p>
          <w:p w:rsidR="00CA619C" w:rsidRDefault="00CA619C" w:rsidP="00CA619C">
            <w:pPr>
              <w:spacing w:afterLines="50" w:after="156"/>
              <w:rPr>
                <w:rFonts w:hint="eastAsia"/>
              </w:rPr>
            </w:pPr>
            <w:r>
              <w:t>(</w:t>
            </w:r>
            <w:r>
              <w:rPr>
                <w:rFonts w:hint="eastAsia"/>
              </w:rPr>
              <w:t>位于奥尼昂塔市</w:t>
            </w:r>
            <w:r>
              <w:t>)</w:t>
            </w:r>
          </w:p>
        </w:tc>
        <w:tc>
          <w:tcPr>
            <w:tcW w:w="1416" w:type="dxa"/>
            <w:vAlign w:val="center"/>
          </w:tcPr>
          <w:p w:rsidR="00CA619C" w:rsidRDefault="00CA619C" w:rsidP="00CA619C">
            <w:pPr>
              <w:spacing w:afterLines="50" w:after="156"/>
              <w:rPr>
                <w:rFonts w:hint="eastAsia"/>
              </w:rPr>
            </w:pPr>
            <w:r>
              <w:rPr>
                <w:rFonts w:hint="eastAsia"/>
              </w:rPr>
              <w:t>$</w:t>
            </w:r>
            <w:r>
              <w:t>250000</w:t>
            </w:r>
          </w:p>
        </w:tc>
        <w:tc>
          <w:tcPr>
            <w:tcW w:w="3245" w:type="dxa"/>
            <w:vAlign w:val="center"/>
          </w:tcPr>
          <w:p w:rsidR="00CA619C" w:rsidRDefault="00CA619C" w:rsidP="00CA619C">
            <w:pPr>
              <w:spacing w:afterLines="50" w:after="156"/>
              <w:rPr>
                <w:rFonts w:hint="eastAsia"/>
              </w:rPr>
            </w:pPr>
            <w:r>
              <w:rPr>
                <w:rFonts w:hint="eastAsia"/>
              </w:rPr>
              <w:t>计划开发一种储能潜力较大的超级电容技术</w:t>
            </w:r>
          </w:p>
        </w:tc>
        <w:tc>
          <w:tcPr>
            <w:tcW w:w="2605" w:type="dxa"/>
            <w:vAlign w:val="center"/>
          </w:tcPr>
          <w:p w:rsidR="00CA619C" w:rsidRDefault="00CA619C" w:rsidP="00CA619C">
            <w:pPr>
              <w:spacing w:afterLines="50" w:after="156"/>
              <w:rPr>
                <w:rFonts w:hint="eastAsia"/>
              </w:rPr>
            </w:pPr>
            <w:r>
              <w:rPr>
                <w:rFonts w:hint="eastAsia"/>
              </w:rPr>
              <w:t>目前正寻求运用该技术在工业电力电子领域和混合动力汽车领域开辟市场</w:t>
            </w:r>
          </w:p>
        </w:tc>
      </w:tr>
      <w:tr w:rsidR="00CA619C" w:rsidTr="00CA619C">
        <w:tc>
          <w:tcPr>
            <w:tcW w:w="2130" w:type="dxa"/>
            <w:vAlign w:val="center"/>
          </w:tcPr>
          <w:p w:rsidR="00CA619C" w:rsidRDefault="00CA619C" w:rsidP="00CA619C">
            <w:pPr>
              <w:spacing w:afterLines="50" w:after="156"/>
            </w:pPr>
            <w:r>
              <w:t>Electromotive Designs</w:t>
            </w:r>
            <w:r>
              <w:rPr>
                <w:rFonts w:hint="eastAsia"/>
              </w:rPr>
              <w:t>公司</w:t>
            </w:r>
            <w:r>
              <w:t>(</w:t>
            </w:r>
            <w:r>
              <w:rPr>
                <w:rFonts w:hint="eastAsia"/>
              </w:rPr>
              <w:t>位于</w:t>
            </w:r>
            <w:r>
              <w:t>Ronkonkoma</w:t>
            </w:r>
            <w:r>
              <w:rPr>
                <w:rFonts w:hint="eastAsia"/>
              </w:rPr>
              <w:t>市</w:t>
            </w:r>
            <w:r>
              <w:t>)</w:t>
            </w:r>
          </w:p>
        </w:tc>
        <w:tc>
          <w:tcPr>
            <w:tcW w:w="1416" w:type="dxa"/>
            <w:vAlign w:val="center"/>
          </w:tcPr>
          <w:p w:rsidR="00CA619C" w:rsidRDefault="00CA619C" w:rsidP="00CA619C">
            <w:pPr>
              <w:spacing w:afterLines="50" w:after="156"/>
              <w:rPr>
                <w:rFonts w:hint="eastAsia"/>
              </w:rPr>
            </w:pPr>
            <w:r>
              <w:rPr>
                <w:rFonts w:hint="eastAsia"/>
              </w:rPr>
              <w:t>$</w:t>
            </w:r>
            <w:r>
              <w:t>250000</w:t>
            </w:r>
          </w:p>
        </w:tc>
        <w:tc>
          <w:tcPr>
            <w:tcW w:w="3245" w:type="dxa"/>
            <w:vAlign w:val="center"/>
          </w:tcPr>
          <w:p w:rsidR="00CA619C" w:rsidRDefault="00CA619C" w:rsidP="00CA619C">
            <w:pPr>
              <w:spacing w:afterLines="50" w:after="156"/>
              <w:rPr>
                <w:rFonts w:hint="eastAsia"/>
              </w:rPr>
            </w:pPr>
            <w:r>
              <w:rPr>
                <w:rFonts w:hint="eastAsia"/>
              </w:rPr>
              <w:t>致力于研发一个低成本、便于安装的混合动力引擎，该引擎采用</w:t>
            </w:r>
            <w:r>
              <w:t>Loxus</w:t>
            </w:r>
            <w:r>
              <w:rPr>
                <w:rFonts w:hint="eastAsia"/>
              </w:rPr>
              <w:t>制造的超级电容器，能够捕捉反馈制动的能量，为启动的巴士和卡车加速</w:t>
            </w:r>
          </w:p>
        </w:tc>
        <w:tc>
          <w:tcPr>
            <w:tcW w:w="2605" w:type="dxa"/>
            <w:vAlign w:val="center"/>
          </w:tcPr>
          <w:p w:rsidR="00CA619C" w:rsidRDefault="00CA619C" w:rsidP="00CA619C">
            <w:pPr>
              <w:spacing w:afterLines="50" w:after="156"/>
              <w:rPr>
                <w:rFonts w:hint="eastAsia"/>
              </w:rPr>
            </w:pPr>
          </w:p>
        </w:tc>
      </w:tr>
      <w:tr w:rsidR="00CA619C" w:rsidTr="00CA619C">
        <w:tc>
          <w:tcPr>
            <w:tcW w:w="2130" w:type="dxa"/>
            <w:vAlign w:val="center"/>
          </w:tcPr>
          <w:p w:rsidR="00CA619C" w:rsidRDefault="00CA619C" w:rsidP="00CA619C">
            <w:pPr>
              <w:spacing w:afterLines="50" w:after="156"/>
              <w:rPr>
                <w:rFonts w:hint="eastAsia"/>
              </w:rPr>
            </w:pPr>
            <w:r>
              <w:t>Eos</w:t>
            </w:r>
            <w:r>
              <w:rPr>
                <w:rFonts w:hint="eastAsia"/>
              </w:rPr>
              <w:t>储能公司</w:t>
            </w:r>
          </w:p>
          <w:p w:rsidR="00CA619C" w:rsidRDefault="00CA619C" w:rsidP="00CA619C">
            <w:pPr>
              <w:spacing w:afterLines="50" w:after="156"/>
            </w:pPr>
            <w:r>
              <w:t>(</w:t>
            </w:r>
            <w:r>
              <w:rPr>
                <w:rFonts w:hint="eastAsia"/>
              </w:rPr>
              <w:t>位于曼哈顿</w:t>
            </w:r>
            <w:r>
              <w:t>)</w:t>
            </w:r>
          </w:p>
        </w:tc>
        <w:tc>
          <w:tcPr>
            <w:tcW w:w="1416" w:type="dxa"/>
            <w:vAlign w:val="center"/>
          </w:tcPr>
          <w:p w:rsidR="00CA619C" w:rsidRDefault="00CA619C" w:rsidP="00CA619C">
            <w:pPr>
              <w:spacing w:afterLines="50" w:after="156"/>
              <w:rPr>
                <w:rFonts w:hint="eastAsia"/>
              </w:rPr>
            </w:pPr>
            <w:r>
              <w:rPr>
                <w:rFonts w:hint="eastAsia"/>
              </w:rPr>
              <w:t>$</w:t>
            </w:r>
            <w:r>
              <w:t>250000</w:t>
            </w:r>
            <w:r>
              <w:rPr>
                <w:rFonts w:hint="eastAsia"/>
              </w:rPr>
              <w:t xml:space="preserve"> </w:t>
            </w:r>
          </w:p>
        </w:tc>
        <w:tc>
          <w:tcPr>
            <w:tcW w:w="3245" w:type="dxa"/>
            <w:vAlign w:val="center"/>
          </w:tcPr>
          <w:p w:rsidR="00CA619C" w:rsidRDefault="00CA619C" w:rsidP="00CA619C">
            <w:pPr>
              <w:spacing w:afterLines="50" w:after="156"/>
              <w:rPr>
                <w:rFonts w:hint="eastAsia"/>
              </w:rPr>
            </w:pPr>
            <w:r>
              <w:rPr>
                <w:rFonts w:hint="eastAsia"/>
              </w:rPr>
              <w:t>正寻求规模化和商业化一种新型锌电池技术，该技术的成本更低、能量密度更高，固有设计更安全，能够降低客户的能量成本，延缓昂贵的输配系统升级方面的投资，并且提高电能质量和电网灵活性</w:t>
            </w:r>
          </w:p>
        </w:tc>
        <w:tc>
          <w:tcPr>
            <w:tcW w:w="2605" w:type="dxa"/>
            <w:vAlign w:val="center"/>
          </w:tcPr>
          <w:p w:rsidR="00CA619C" w:rsidRDefault="00CA619C" w:rsidP="00CA619C">
            <w:pPr>
              <w:spacing w:afterLines="50" w:after="156"/>
              <w:rPr>
                <w:rFonts w:hint="eastAsia"/>
              </w:rPr>
            </w:pPr>
            <w:r>
              <w:rPr>
                <w:rFonts w:hint="eastAsia"/>
              </w:rPr>
              <w:t>该资金已支持第一个整规模子模块的实地测验—</w:t>
            </w:r>
            <w:r>
              <w:t>1MW/6MWh Aurora battery</w:t>
            </w:r>
            <w:r>
              <w:rPr>
                <w:rFonts w:hint="eastAsia"/>
              </w:rPr>
              <w:t>。该公司与联合爱迪生公司合作，目标是示范多种分布式储能应用带来的收益</w:t>
            </w:r>
          </w:p>
        </w:tc>
      </w:tr>
      <w:tr w:rsidR="00CA619C" w:rsidTr="00CA619C">
        <w:tc>
          <w:tcPr>
            <w:tcW w:w="2130" w:type="dxa"/>
            <w:vAlign w:val="center"/>
          </w:tcPr>
          <w:p w:rsidR="00CA619C" w:rsidRDefault="00CA619C" w:rsidP="00CA619C">
            <w:pPr>
              <w:spacing w:afterLines="50" w:after="156"/>
              <w:rPr>
                <w:rFonts w:hint="eastAsia"/>
              </w:rPr>
            </w:pPr>
            <w:r>
              <w:rPr>
                <w:rFonts w:hint="eastAsia"/>
              </w:rPr>
              <w:t>瓦特燃料电池公司</w:t>
            </w:r>
          </w:p>
          <w:p w:rsidR="00CA619C" w:rsidRDefault="00CA619C" w:rsidP="00CA619C">
            <w:pPr>
              <w:spacing w:afterLines="50" w:after="156"/>
              <w:rPr>
                <w:rFonts w:hint="eastAsia"/>
              </w:rPr>
            </w:pPr>
            <w:r>
              <w:t>(</w:t>
            </w:r>
            <w:r>
              <w:rPr>
                <w:rFonts w:hint="eastAsia"/>
              </w:rPr>
              <w:t>位于华盛顿</w:t>
            </w:r>
            <w:r>
              <w:t>)</w:t>
            </w:r>
          </w:p>
        </w:tc>
        <w:tc>
          <w:tcPr>
            <w:tcW w:w="1416" w:type="dxa"/>
            <w:vAlign w:val="center"/>
          </w:tcPr>
          <w:p w:rsidR="00CA619C" w:rsidRDefault="00CA619C" w:rsidP="00CA619C">
            <w:pPr>
              <w:spacing w:afterLines="50" w:after="156"/>
              <w:rPr>
                <w:rFonts w:hint="eastAsia"/>
              </w:rPr>
            </w:pPr>
            <w:r>
              <w:rPr>
                <w:rFonts w:hint="eastAsia"/>
              </w:rPr>
              <w:t xml:space="preserve">$ </w:t>
            </w:r>
            <w:r>
              <w:t>250000</w:t>
            </w:r>
            <w:r>
              <w:rPr>
                <w:rFonts w:hint="eastAsia"/>
              </w:rPr>
              <w:t xml:space="preserve"> </w:t>
            </w:r>
          </w:p>
        </w:tc>
        <w:tc>
          <w:tcPr>
            <w:tcW w:w="3245" w:type="dxa"/>
            <w:vAlign w:val="center"/>
          </w:tcPr>
          <w:p w:rsidR="00CA619C" w:rsidRDefault="00CA619C" w:rsidP="00CA619C">
            <w:pPr>
              <w:spacing w:afterLines="50" w:after="156"/>
              <w:rPr>
                <w:rFonts w:hint="eastAsia"/>
              </w:rPr>
            </w:pPr>
            <w:r>
              <w:rPr>
                <w:rFonts w:hint="eastAsia"/>
              </w:rPr>
              <w:t>目前正在构建一个原型系统，该系统利用一个便携式固态氧化物燃料电池中提供电力和热能。</w:t>
            </w:r>
          </w:p>
        </w:tc>
        <w:tc>
          <w:tcPr>
            <w:tcW w:w="2605" w:type="dxa"/>
            <w:vAlign w:val="center"/>
          </w:tcPr>
          <w:p w:rsidR="00CA619C" w:rsidRDefault="00CA619C" w:rsidP="00CA619C">
            <w:pPr>
              <w:spacing w:afterLines="50" w:after="156"/>
              <w:rPr>
                <w:rFonts w:hint="eastAsia"/>
              </w:rPr>
            </w:pPr>
            <w:r>
              <w:rPr>
                <w:rFonts w:hint="eastAsia"/>
              </w:rPr>
              <w:t>该项目在军事和热电联产项目中有应用，也可以在电力中断时做备用电源</w:t>
            </w:r>
          </w:p>
        </w:tc>
      </w:tr>
    </w:tbl>
    <w:p w:rsidR="00CA619C" w:rsidRDefault="00CA619C" w:rsidP="00CA619C">
      <w:pPr>
        <w:pStyle w:val="Heading3"/>
        <w:numPr>
          <w:ilvl w:val="2"/>
          <w:numId w:val="1"/>
        </w:numPr>
        <w:tabs>
          <w:tab w:val="clear" w:pos="720"/>
        </w:tabs>
      </w:pPr>
      <w:bookmarkStart w:id="115" w:name="_Toc392853136"/>
      <w:r>
        <w:rPr>
          <w:rFonts w:hint="eastAsia"/>
        </w:rPr>
        <w:t>多种灵活商业模式助推创新技术产业化</w:t>
      </w:r>
      <w:bookmarkEnd w:id="115"/>
    </w:p>
    <w:p w:rsidR="00CA619C" w:rsidRDefault="00CA619C" w:rsidP="00CA619C">
      <w:pPr>
        <w:ind w:firstLine="480"/>
      </w:pPr>
      <w:r>
        <w:rPr>
          <w:rFonts w:hint="eastAsia"/>
        </w:rPr>
        <w:t>在储能领域，美国有一些公司正通过影响高峰用电费来帮企业节约电费，并帮助储能系统实现产业化。它的解决方案主要是通过利用一套系统在企业自己非用电高峰时段从电网中储电，在企业自身用电高峰时段，从该套电力调度系统中取电，从而降低了自己在能源公司电网中的高峰用电量。该套系统通常包含：一个用电量智能检测装置，一套储能蓄电池，一套可视化仪表盘软件。该套系统并没有影响企业自己的电力使用方式和习惯，但却降低了用电费。</w:t>
      </w:r>
    </w:p>
    <w:p w:rsidR="00CA619C" w:rsidRDefault="00CA619C" w:rsidP="00CA619C">
      <w:pPr>
        <w:ind w:firstLine="480"/>
        <w:rPr>
          <w:rFonts w:hint="eastAsia"/>
        </w:rPr>
      </w:pPr>
      <w:r>
        <w:rPr>
          <w:rFonts w:hint="eastAsia"/>
        </w:rPr>
        <w:t>这种技术创新服务模式可以说是从太阳能租赁行业中取经，也可以说是互联网方式。它的系统部署不向企业收费，企业不需要一次性买下它的整套系统，而是将近零的安装成本，后续每月向系统解决方案提供商支付一笔固定费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CA619C" w:rsidTr="00CA619C">
        <w:tc>
          <w:tcPr>
            <w:tcW w:w="9288" w:type="dxa"/>
          </w:tcPr>
          <w:p w:rsidR="00CA619C" w:rsidRDefault="00CA619C" w:rsidP="00CA619C">
            <w:pPr>
              <w:pStyle w:val="1"/>
              <w:spacing w:after="0"/>
              <w:ind w:left="0" w:firstLineChars="0" w:firstLine="0"/>
              <w:jc w:val="center"/>
              <w:rPr>
                <w:rFonts w:ascii="宋体" w:hAnsi="宋体" w:hint="eastAsia"/>
                <w:b/>
                <w:i/>
                <w:lang w:eastAsia="zh-CN"/>
              </w:rPr>
            </w:pPr>
            <w:r>
              <w:rPr>
                <w:rFonts w:ascii="宋体" w:hAnsi="宋体" w:hint="eastAsia"/>
                <w:b/>
                <w:i/>
                <w:lang w:eastAsia="zh-CN"/>
              </w:rPr>
              <w:t>专栏  Stem公司的储能解决方案</w:t>
            </w:r>
          </w:p>
          <w:p w:rsidR="00CA619C" w:rsidRDefault="00CA619C" w:rsidP="00CA619C">
            <w:pPr>
              <w:ind w:firstLine="480"/>
              <w:rPr>
                <w:rFonts w:hint="eastAsia"/>
              </w:rPr>
            </w:pPr>
            <w:r>
              <w:t>Stem</w:t>
            </w:r>
            <w:r>
              <w:rPr>
                <w:rFonts w:hint="eastAsia"/>
              </w:rPr>
              <w:t>是美国一家通过安装带有储能的管理系统帮企业降低商用</w:t>
            </w:r>
            <w:r>
              <w:t>/</w:t>
            </w:r>
            <w:r>
              <w:rPr>
                <w:rFonts w:hint="eastAsia"/>
              </w:rPr>
              <w:t>工业用电费的储能解决方案公司。</w:t>
            </w:r>
          </w:p>
          <w:p w:rsidR="00CA619C" w:rsidRDefault="00CA619C" w:rsidP="00CA619C">
            <w:pPr>
              <w:ind w:firstLine="480"/>
              <w:rPr>
                <w:rFonts w:hint="eastAsia"/>
              </w:rPr>
            </w:pPr>
            <w:r>
              <w:rPr>
                <w:rFonts w:hint="eastAsia"/>
              </w:rPr>
              <w:t>目前，</w:t>
            </w:r>
            <w:r>
              <w:t>Stem</w:t>
            </w:r>
            <w:r>
              <w:rPr>
                <w:rFonts w:hint="eastAsia"/>
              </w:rPr>
              <w:t>公司已经在加利福尼亚旧金山的一家酒店安装了</w:t>
            </w:r>
            <w:r>
              <w:t>2</w:t>
            </w:r>
            <w:r>
              <w:rPr>
                <w:rFonts w:hint="eastAsia"/>
              </w:rPr>
              <w:t>个锂离子的储能装置来帮助酒店管理用电高峰需求。该酒店过去一年已经进行了一个</w:t>
            </w:r>
            <w:r>
              <w:t>15</w:t>
            </w:r>
            <w:r>
              <w:rPr>
                <w:rFonts w:hint="eastAsia"/>
              </w:rPr>
              <w:t>千瓦的</w:t>
            </w:r>
            <w:r>
              <w:t>Stem</w:t>
            </w:r>
            <w:r>
              <w:rPr>
                <w:rFonts w:hint="eastAsia"/>
              </w:rPr>
              <w:t>储能系统的试验，通过它该酒店在管理高峰需求上提高了</w:t>
            </w:r>
            <w:r>
              <w:t>17%~30%</w:t>
            </w:r>
            <w:r>
              <w:rPr>
                <w:rFonts w:hint="eastAsia"/>
              </w:rPr>
              <w:t>。</w:t>
            </w:r>
          </w:p>
          <w:p w:rsidR="00CA619C" w:rsidRDefault="00CA619C" w:rsidP="00CA619C">
            <w:pPr>
              <w:ind w:firstLine="480"/>
              <w:rPr>
                <w:rFonts w:ascii="宋体" w:hAnsi="宋体" w:cs="宋体" w:hint="eastAsia"/>
              </w:rPr>
            </w:pPr>
            <w:r>
              <w:rPr>
                <w:rFonts w:hint="eastAsia"/>
              </w:rPr>
              <w:t>2012</w:t>
            </w:r>
            <w:r>
              <w:rPr>
                <w:rFonts w:hint="eastAsia"/>
              </w:rPr>
              <w:t>年</w:t>
            </w:r>
            <w:r>
              <w:t>11</w:t>
            </w:r>
            <w:r>
              <w:rPr>
                <w:rFonts w:hint="eastAsia"/>
              </w:rPr>
              <w:t>月，该酒店再次订购了</w:t>
            </w:r>
            <w:r>
              <w:t>17</w:t>
            </w:r>
            <w:r>
              <w:rPr>
                <w:rFonts w:hint="eastAsia"/>
              </w:rPr>
              <w:t>个</w:t>
            </w:r>
            <w:r>
              <w:t>Stem</w:t>
            </w:r>
            <w:r>
              <w:rPr>
                <w:rFonts w:hint="eastAsia"/>
              </w:rPr>
              <w:t>储能系统并计划在旧金山的</w:t>
            </w:r>
            <w:r>
              <w:t xml:space="preserve">Mark Hopkins </w:t>
            </w:r>
            <w:r>
              <w:rPr>
                <w:rFonts w:hint="eastAsia"/>
              </w:rPr>
              <w:t>安装两个</w:t>
            </w:r>
            <w:r>
              <w:t>54</w:t>
            </w:r>
            <w:r>
              <w:rPr>
                <w:rFonts w:hint="eastAsia"/>
              </w:rPr>
              <w:t>千瓦的电池组，预计能够提供</w:t>
            </w:r>
            <w:r>
              <w:t>20%</w:t>
            </w:r>
            <w:r>
              <w:rPr>
                <w:rFonts w:hint="eastAsia"/>
              </w:rPr>
              <w:t>的酒店用电需求。系统成本的资金一部分来自加州政府（一个</w:t>
            </w:r>
            <w:r>
              <w:t>54kw</w:t>
            </w:r>
            <w:r>
              <w:rPr>
                <w:rFonts w:hint="eastAsia"/>
              </w:rPr>
              <w:t>系统的成本约为</w:t>
            </w:r>
            <w:r>
              <w:t>97000</w:t>
            </w:r>
            <w:r>
              <w:rPr>
                <w:rFonts w:hint="eastAsia"/>
              </w:rPr>
              <w:t>美元</w:t>
            </w:r>
            <w:r>
              <w:t>~ 100000</w:t>
            </w:r>
            <w:r>
              <w:rPr>
                <w:rFonts w:hint="eastAsia"/>
              </w:rPr>
              <w:t>美元，加利福尼亚州能补贴约</w:t>
            </w:r>
            <w:r>
              <w:t>60%</w:t>
            </w:r>
            <w:r>
              <w:rPr>
                <w:rFonts w:hint="eastAsia"/>
              </w:rPr>
              <w:t>费用），另一部分由</w:t>
            </w:r>
            <w:r>
              <w:t>Clean Feet Investors</w:t>
            </w:r>
            <w:r>
              <w:rPr>
                <w:rFonts w:hint="eastAsia"/>
              </w:rPr>
              <w:t>资助的</w:t>
            </w:r>
            <w:r>
              <w:t>500</w:t>
            </w:r>
            <w:r>
              <w:rPr>
                <w:rFonts w:hint="eastAsia"/>
              </w:rPr>
              <w:t>万美元的基金来提供，这些资金来源使得</w:t>
            </w:r>
            <w:r>
              <w:t>Stem</w:t>
            </w:r>
            <w:r>
              <w:rPr>
                <w:rFonts w:hint="eastAsia"/>
              </w:rPr>
              <w:t>为客户提供无安装费用的电池储能系统，而用节省下来的电费使得企业能够月付给</w:t>
            </w:r>
            <w:r>
              <w:t>Stem</w:t>
            </w:r>
            <w:r>
              <w:rPr>
                <w:rFonts w:hint="eastAsia"/>
              </w:rPr>
              <w:t>。</w:t>
            </w:r>
          </w:p>
        </w:tc>
      </w:tr>
    </w:tbl>
    <w:p w:rsidR="00CA619C" w:rsidRDefault="00CA619C" w:rsidP="00CA619C">
      <w:pPr>
        <w:ind w:firstLine="480"/>
        <w:rPr>
          <w:rFonts w:hint="eastAsia"/>
        </w:rPr>
      </w:pPr>
    </w:p>
    <w:p w:rsidR="00CA619C" w:rsidRDefault="00CA619C" w:rsidP="00CA619C">
      <w:pPr>
        <w:ind w:firstLine="480"/>
        <w:rPr>
          <w:rFonts w:hint="eastAsia"/>
        </w:rPr>
      </w:pPr>
      <w:r>
        <w:rPr>
          <w:rFonts w:hint="eastAsia"/>
        </w:rPr>
        <w:t>在页岩气领域，美国页岩气在开发初期的经济性和成长性也不明朗，而技术驱动性强。大公司不愿介入，然而中小公司创新意识强、敢于承担风险，在发现新机会和技术革新行动上更为快捷。目前，美国</w:t>
      </w:r>
      <w:r>
        <w:rPr>
          <w:rFonts w:hint="eastAsia"/>
        </w:rPr>
        <w:t>85%</w:t>
      </w:r>
      <w:r>
        <w:rPr>
          <w:rFonts w:hint="eastAsia"/>
        </w:rPr>
        <w:t>的页岩气由中小公司生产，多数区块被中小能源公司和各类基金控制，这些中小能源公司依靠传统的油田服务公司（如哈里伯顿、斯伦贝谢等）提供服务和技术支持。这些中小公司主要包括：</w:t>
      </w:r>
      <w:r>
        <w:rPr>
          <w:rFonts w:hint="eastAsia"/>
        </w:rPr>
        <w:t>Devon Energy</w:t>
      </w:r>
      <w:r>
        <w:rPr>
          <w:rFonts w:hint="eastAsia"/>
        </w:rPr>
        <w:t>、</w:t>
      </w:r>
      <w:r>
        <w:rPr>
          <w:rFonts w:hint="eastAsia"/>
        </w:rPr>
        <w:t>XTO Energy</w:t>
      </w:r>
      <w:r>
        <w:rPr>
          <w:rFonts w:hint="eastAsia"/>
        </w:rPr>
        <w:t>、</w:t>
      </w:r>
      <w:r>
        <w:rPr>
          <w:rFonts w:hint="eastAsia"/>
        </w:rPr>
        <w:t>Chesapeake</w:t>
      </w:r>
      <w:r>
        <w:rPr>
          <w:rFonts w:hint="eastAsia"/>
        </w:rPr>
        <w:t>、</w:t>
      </w:r>
      <w:r>
        <w:rPr>
          <w:rFonts w:hint="eastAsia"/>
        </w:rPr>
        <w:t>EOG Resources</w:t>
      </w:r>
      <w:r>
        <w:rPr>
          <w:rFonts w:hint="eastAsia"/>
        </w:rPr>
        <w:t>、</w:t>
      </w:r>
      <w:r>
        <w:rPr>
          <w:rFonts w:hint="eastAsia"/>
        </w:rPr>
        <w:t>Encana Oil &amp; Gas (USA)</w:t>
      </w:r>
      <w:r>
        <w:rPr>
          <w:rFonts w:hint="eastAsia"/>
        </w:rPr>
        <w:t>、</w:t>
      </w:r>
      <w:r>
        <w:rPr>
          <w:rFonts w:hint="eastAsia"/>
        </w:rPr>
        <w:t>BurlingtonResources</w:t>
      </w:r>
      <w:r>
        <w:rPr>
          <w:rFonts w:hint="eastAsia"/>
        </w:rPr>
        <w:t>等。政府对非常规能源在税收方面的减免，加上油价的上升，使得页岩气开发利润增大，促使中小型独立油气开发商在低回报、高成本的压力下，勇于投资页岩气开发，迅速实现技术革新，扩大产业收益。</w:t>
      </w:r>
    </w:p>
    <w:p w:rsidR="00CA619C" w:rsidRDefault="00CA619C" w:rsidP="00CA619C">
      <w:pPr>
        <w:ind w:firstLine="480"/>
        <w:rPr>
          <w:rFonts w:hint="eastAsia"/>
        </w:rPr>
      </w:pPr>
      <w:r>
        <w:rPr>
          <w:rFonts w:hint="eastAsia"/>
        </w:rPr>
        <w:t>美国主要页岩气开采技术都源自中小能源和技术公司，一项技术从研发到商业化甚至经历了数个公司间的更替。例如</w:t>
      </w:r>
      <w:r>
        <w:rPr>
          <w:rFonts w:hint="eastAsia"/>
        </w:rPr>
        <w:t>Michell</w:t>
      </w:r>
      <w:r>
        <w:rPr>
          <w:rFonts w:hint="eastAsia"/>
        </w:rPr>
        <w:t>能源公司从</w:t>
      </w:r>
      <w:r>
        <w:rPr>
          <w:rFonts w:hint="eastAsia"/>
        </w:rPr>
        <w:t>1981</w:t>
      </w:r>
      <w:r>
        <w:rPr>
          <w:rFonts w:hint="eastAsia"/>
        </w:rPr>
        <w:t>年就开始研究页岩气开采技术，并在德克萨斯州北部</w:t>
      </w:r>
      <w:r>
        <w:rPr>
          <w:rFonts w:hint="eastAsia"/>
        </w:rPr>
        <w:t>Fort Worth</w:t>
      </w:r>
      <w:r>
        <w:rPr>
          <w:rFonts w:hint="eastAsia"/>
        </w:rPr>
        <w:t>盆地</w:t>
      </w:r>
      <w:r>
        <w:rPr>
          <w:rFonts w:hint="eastAsia"/>
        </w:rPr>
        <w:t>Barnett</w:t>
      </w:r>
      <w:r>
        <w:rPr>
          <w:rFonts w:hint="eastAsia"/>
        </w:rPr>
        <w:t>页岩地区完钻了第一口取心评价井，进行了氮气泡沫压裂改造；</w:t>
      </w:r>
      <w:r>
        <w:rPr>
          <w:rFonts w:hint="eastAsia"/>
        </w:rPr>
        <w:t>1986</w:t>
      </w:r>
      <w:r>
        <w:rPr>
          <w:rFonts w:hint="eastAsia"/>
        </w:rPr>
        <w:t>年该公司完成了下</w:t>
      </w:r>
      <w:r>
        <w:rPr>
          <w:rFonts w:hint="eastAsia"/>
        </w:rPr>
        <w:t>Barnett</w:t>
      </w:r>
      <w:r>
        <w:rPr>
          <w:rFonts w:hint="eastAsia"/>
        </w:rPr>
        <w:t>组的地层剖面的数据提取，并对其孔隙度、渗透率、有机质含量和裂缝方向进行了详细的研究；</w:t>
      </w:r>
      <w:r>
        <w:rPr>
          <w:rFonts w:hint="eastAsia"/>
        </w:rPr>
        <w:t>90</w:t>
      </w:r>
      <w:r>
        <w:rPr>
          <w:rFonts w:hint="eastAsia"/>
        </w:rPr>
        <w:t>年代末，</w:t>
      </w:r>
      <w:r>
        <w:rPr>
          <w:rFonts w:hint="eastAsia"/>
        </w:rPr>
        <w:t>Michell</w:t>
      </w:r>
      <w:r>
        <w:rPr>
          <w:rFonts w:hint="eastAsia"/>
        </w:rPr>
        <w:t>能源公司开始实施其它新的增产试验等，如此十几年坚持不懈，但待到快成功时该公司因实力不济，于</w:t>
      </w:r>
      <w:r>
        <w:rPr>
          <w:rFonts w:hint="eastAsia"/>
        </w:rPr>
        <w:t>1998</w:t>
      </w:r>
      <w:r>
        <w:rPr>
          <w:rFonts w:hint="eastAsia"/>
        </w:rPr>
        <w:t>年被</w:t>
      </w:r>
      <w:r>
        <w:rPr>
          <w:rFonts w:hint="eastAsia"/>
        </w:rPr>
        <w:t>Devon</w:t>
      </w:r>
      <w:r>
        <w:rPr>
          <w:rFonts w:hint="eastAsia"/>
        </w:rPr>
        <w:t>能源公司收购；</w:t>
      </w:r>
      <w:r>
        <w:rPr>
          <w:rFonts w:hint="eastAsia"/>
        </w:rPr>
        <w:t>Devon</w:t>
      </w:r>
      <w:r>
        <w:rPr>
          <w:rFonts w:hint="eastAsia"/>
        </w:rPr>
        <w:t>能源公司在</w:t>
      </w:r>
      <w:r>
        <w:rPr>
          <w:rFonts w:hint="eastAsia"/>
        </w:rPr>
        <w:t>2002</w:t>
      </w:r>
      <w:r>
        <w:rPr>
          <w:rFonts w:hint="eastAsia"/>
        </w:rPr>
        <w:t>年</w:t>
      </w:r>
      <w:r>
        <w:rPr>
          <w:rFonts w:hint="eastAsia"/>
        </w:rPr>
        <w:t>7</w:t>
      </w:r>
      <w:r>
        <w:rPr>
          <w:rFonts w:hint="eastAsia"/>
        </w:rPr>
        <w:t>月页岩气试验水平井取得巨大成功，此后，业界开始大力推广水平钻井，从此水平井技术在页岩气开采中实现了商业化，推动了美国页岩气产业的突破性发展。</w:t>
      </w:r>
    </w:p>
    <w:p w:rsidR="00CA619C" w:rsidRDefault="00CA619C" w:rsidP="00CA619C">
      <w:pPr>
        <w:ind w:firstLine="480"/>
        <w:rPr>
          <w:rFonts w:hint="eastAsia"/>
        </w:rPr>
      </w:pPr>
      <w:r>
        <w:rPr>
          <w:rFonts w:hint="eastAsia"/>
        </w:rPr>
        <w:t>实际上在页岩气开发早期，大型油气公司并没有重视对页岩气的开发，而更多的是将注意力集中在墨西哥湾的深水油气开发，也低估了页岩气的潜力。当然，那时大型油气公司也没有精力与诸多土地持有者进行旷日持久的矿业权获取谈判，几乎没有早期介入页岩气的开发。然而，随着墨西哥湾深水油气产量的下滑，大型油气公司难以找到比较大的储量增长点来保证储量接替率，因此大型油气公司凭借其在产业长期性和投资能力上的优势纷纷转向日益成熟的页岩气开发市场。</w:t>
      </w:r>
    </w:p>
    <w:p w:rsidR="00CA619C" w:rsidRDefault="00CA619C" w:rsidP="00CA619C">
      <w:pPr>
        <w:ind w:firstLine="480"/>
        <w:rPr>
          <w:rFonts w:hint="eastAsia"/>
        </w:rPr>
      </w:pPr>
      <w:r>
        <w:rPr>
          <w:rFonts w:hint="eastAsia"/>
        </w:rPr>
        <w:t>近几年来，</w:t>
      </w:r>
      <w:r>
        <w:t>以美国为主的页岩气资产交易非常活跃</w:t>
      </w:r>
      <w:r>
        <w:rPr>
          <w:rFonts w:hint="eastAsia"/>
        </w:rPr>
        <w:t>，一些大型油气公司开始通过并购拥有页岩区块或开采技术或开发经验的中小公司，或与中小公司合资合作等方式介入页岩气开发。据《环球》统计，</w:t>
      </w:r>
      <w:r>
        <w:t>2009</w:t>
      </w:r>
      <w:r>
        <w:t>年</w:t>
      </w:r>
      <w:r>
        <w:t>1</w:t>
      </w:r>
      <w:r>
        <w:t>月至</w:t>
      </w:r>
      <w:r>
        <w:t>2010</w:t>
      </w:r>
      <w:r>
        <w:t>年</w:t>
      </w:r>
      <w:r>
        <w:t>4</w:t>
      </w:r>
      <w:r>
        <w:t>月，</w:t>
      </w:r>
      <w:r>
        <w:rPr>
          <w:rFonts w:hint="eastAsia"/>
        </w:rPr>
        <w:t>美国</w:t>
      </w:r>
      <w:r>
        <w:t>页岩气</w:t>
      </w:r>
      <w:r>
        <w:rPr>
          <w:rFonts w:hint="eastAsia"/>
        </w:rPr>
        <w:t>产业</w:t>
      </w:r>
      <w:r>
        <w:t>资产的收购兼并交易达到</w:t>
      </w:r>
      <w:r>
        <w:t>73.33</w:t>
      </w:r>
      <w:r>
        <w:t>亿美元，这还</w:t>
      </w:r>
      <w:r>
        <w:rPr>
          <w:rFonts w:hint="eastAsia"/>
        </w:rPr>
        <w:t>不包括</w:t>
      </w:r>
      <w:r>
        <w:t>埃克森美孚</w:t>
      </w:r>
      <w:r>
        <w:rPr>
          <w:rFonts w:hint="eastAsia"/>
        </w:rPr>
        <w:t>公司于</w:t>
      </w:r>
      <w:r>
        <w:rPr>
          <w:rFonts w:hint="eastAsia"/>
        </w:rPr>
        <w:t>2009</w:t>
      </w:r>
      <w:r>
        <w:rPr>
          <w:rFonts w:hint="eastAsia"/>
        </w:rPr>
        <w:t>年</w:t>
      </w:r>
      <w:r>
        <w:rPr>
          <w:rFonts w:hint="eastAsia"/>
        </w:rPr>
        <w:t>12</w:t>
      </w:r>
      <w:r>
        <w:rPr>
          <w:rFonts w:hint="eastAsia"/>
        </w:rPr>
        <w:t>月以</w:t>
      </w:r>
      <w:r>
        <w:rPr>
          <w:rFonts w:hint="eastAsia"/>
        </w:rPr>
        <w:t>410</w:t>
      </w:r>
      <w:r>
        <w:rPr>
          <w:rFonts w:hint="eastAsia"/>
        </w:rPr>
        <w:t>亿美元全面</w:t>
      </w:r>
      <w:r>
        <w:t>收购</w:t>
      </w:r>
      <w:r>
        <w:t>XTO</w:t>
      </w:r>
      <w:r>
        <w:t>能源</w:t>
      </w:r>
      <w:r>
        <w:rPr>
          <w:rFonts w:hint="eastAsia"/>
        </w:rPr>
        <w:t>公司的</w:t>
      </w:r>
      <w:r>
        <w:t>常规天然气和非常规天然气资源</w:t>
      </w:r>
      <w:r>
        <w:rPr>
          <w:rFonts w:hint="eastAsia"/>
        </w:rPr>
        <w:t>的交易。</w:t>
      </w:r>
    </w:p>
    <w:p w:rsidR="00CA619C" w:rsidRDefault="00CA619C" w:rsidP="00CA619C">
      <w:pPr>
        <w:ind w:firstLine="480"/>
        <w:rPr>
          <w:rFonts w:ascii="宋体" w:hAnsi="宋体"/>
        </w:rPr>
      </w:pPr>
      <w:r>
        <w:rPr>
          <w:rFonts w:hint="eastAsia"/>
        </w:rPr>
        <w:t>在美国，中小能源公司实现页岩气开发的技术突破与商业化应用后，大型油气公司凭借产业长期性和财政稳定性介入页岩气产业发展给予了更多的支持和保证，使得美国页岩气市场得以迅速规模化以及商业化发展。美国页岩气产业快速而有序发展起来，正是得益于这种专业化、市场化的资本交接。</w:t>
      </w:r>
    </w:p>
    <w:p w:rsidR="00CA619C" w:rsidRDefault="00CA619C" w:rsidP="00CA619C">
      <w:pPr>
        <w:pStyle w:val="Heading2"/>
        <w:tabs>
          <w:tab w:val="clear" w:pos="575"/>
        </w:tabs>
        <w:rPr>
          <w:rFonts w:hint="eastAsia"/>
        </w:rPr>
      </w:pPr>
      <w:bookmarkStart w:id="116" w:name="_Toc392853137"/>
      <w:r>
        <w:rPr>
          <w:rFonts w:hint="eastAsia"/>
        </w:rPr>
        <w:t>技术创新服务</w:t>
      </w:r>
      <w:bookmarkEnd w:id="116"/>
    </w:p>
    <w:p w:rsidR="00CA619C" w:rsidRDefault="00CA619C" w:rsidP="00CA619C">
      <w:pPr>
        <w:pStyle w:val="Heading3"/>
        <w:numPr>
          <w:ilvl w:val="2"/>
          <w:numId w:val="1"/>
        </w:numPr>
        <w:tabs>
          <w:tab w:val="clear" w:pos="720"/>
        </w:tabs>
        <w:rPr>
          <w:rFonts w:hint="eastAsia"/>
        </w:rPr>
      </w:pPr>
      <w:bookmarkStart w:id="117" w:name="_Toc392853138"/>
      <w:r>
        <w:rPr>
          <w:rFonts w:hint="eastAsia"/>
        </w:rPr>
        <w:t>美国成熟的资本市场及融资服务体系为技术创新提供资金支持</w:t>
      </w:r>
      <w:bookmarkEnd w:id="117"/>
    </w:p>
    <w:p w:rsidR="00CA619C" w:rsidRDefault="00CA619C" w:rsidP="00CA619C">
      <w:pPr>
        <w:ind w:firstLine="480"/>
        <w:rPr>
          <w:rFonts w:ascii="宋体" w:hAnsi="宋体" w:hint="eastAsia"/>
        </w:rPr>
      </w:pPr>
      <w:r>
        <w:rPr>
          <w:rFonts w:hint="eastAsia"/>
          <w:bCs/>
        </w:rPr>
        <w:t>美国新兴能源技术创新，离不开技术创新服务体系，美国新兴能源技术创新体系中最关键的一点就是美国成熟的资本市场及融资服务体系为技术创新提供资金支持。</w:t>
      </w:r>
      <w:r>
        <w:rPr>
          <w:rFonts w:hint="eastAsia"/>
        </w:rPr>
        <w:t>例如在页岩气领域，美国页岩气实现大规模开发的一个主要原因就在于资本高效流动性。由于美国页岩气开发实施的是专业化分工和协作相结合的机制，这就使得页岩气开采的单个环节投入小、效率高、作业周期短、资金回收快、资本效率高，使很多项目内部收益率超过</w:t>
      </w:r>
      <w:r>
        <w:rPr>
          <w:rFonts w:hint="eastAsia"/>
        </w:rPr>
        <w:t>10%</w:t>
      </w:r>
      <w:r>
        <w:rPr>
          <w:rFonts w:hint="eastAsia"/>
        </w:rPr>
        <w:t>，因此吸引了大量风险资金与民间资本投资于页岩气各个环节。各类资本在页岩气生产的全链条上实现了快速流动，同时又带动了技术服务和商业模式的创新。</w:t>
      </w:r>
    </w:p>
    <w:p w:rsidR="00CA619C" w:rsidRDefault="00CA619C" w:rsidP="00CA619C">
      <w:pPr>
        <w:ind w:firstLine="480"/>
        <w:rPr>
          <w:rFonts w:ascii="宋体" w:hAnsi="宋体" w:hint="eastAsia"/>
        </w:rPr>
      </w:pPr>
      <w:r>
        <w:rPr>
          <w:rFonts w:hint="eastAsia"/>
        </w:rPr>
        <w:t>类似的，美国页岩气市场的大量并购活动，也为产业发展和技术更替注入了新鲜的资本及血液。在美国，中小能源公司在实现页岩气开发的技术突破与商业化应用后，大型油气公司凭借产业长期性和规模资金的稳定性介入页岩气领域，使得页岩气产业发展得到了更多的资金支持和保证。这种专业化、市场化的资本接替极大的促进了页岩气市场得以迅速规模化以及商业化发展，新的资本活力的注入也极大的保障了美国页岩气产业的持续繁荣。据《环球》统计，美国页岩气领域的资产交易非常活跃，仅</w:t>
      </w:r>
      <w:r>
        <w:rPr>
          <w:rFonts w:hint="eastAsia"/>
        </w:rPr>
        <w:t>2009</w:t>
      </w:r>
      <w:r>
        <w:rPr>
          <w:rFonts w:hint="eastAsia"/>
        </w:rPr>
        <w:t>年</w:t>
      </w:r>
      <w:r>
        <w:rPr>
          <w:rFonts w:hint="eastAsia"/>
        </w:rPr>
        <w:t>1</w:t>
      </w:r>
      <w:r>
        <w:rPr>
          <w:rFonts w:hint="eastAsia"/>
        </w:rPr>
        <w:t>月至</w:t>
      </w:r>
      <w:r>
        <w:rPr>
          <w:rFonts w:hint="eastAsia"/>
        </w:rPr>
        <w:t>2010</w:t>
      </w:r>
      <w:r>
        <w:rPr>
          <w:rFonts w:hint="eastAsia"/>
        </w:rPr>
        <w:t>年</w:t>
      </w:r>
      <w:r>
        <w:rPr>
          <w:rFonts w:hint="eastAsia"/>
        </w:rPr>
        <w:t>4</w:t>
      </w:r>
      <w:r>
        <w:rPr>
          <w:rFonts w:hint="eastAsia"/>
        </w:rPr>
        <w:t>月，美国页岩气产业资产的收购兼并交易达到</w:t>
      </w:r>
      <w:r>
        <w:rPr>
          <w:rFonts w:hint="eastAsia"/>
        </w:rPr>
        <w:t>73.33</w:t>
      </w:r>
      <w:r>
        <w:rPr>
          <w:rFonts w:hint="eastAsia"/>
        </w:rPr>
        <w:t>亿美元，这还不包括埃克森美孚公司于</w:t>
      </w:r>
      <w:r>
        <w:rPr>
          <w:rFonts w:hint="eastAsia"/>
        </w:rPr>
        <w:t>2009</w:t>
      </w:r>
      <w:r>
        <w:rPr>
          <w:rFonts w:hint="eastAsia"/>
        </w:rPr>
        <w:t>年</w:t>
      </w:r>
      <w:r>
        <w:rPr>
          <w:rFonts w:hint="eastAsia"/>
        </w:rPr>
        <w:t>12</w:t>
      </w:r>
      <w:r>
        <w:rPr>
          <w:rFonts w:hint="eastAsia"/>
        </w:rPr>
        <w:t>月以</w:t>
      </w:r>
      <w:r>
        <w:rPr>
          <w:rFonts w:hint="eastAsia"/>
        </w:rPr>
        <w:t>410</w:t>
      </w:r>
      <w:r>
        <w:rPr>
          <w:rFonts w:hint="eastAsia"/>
        </w:rPr>
        <w:t>亿美元全面收购</w:t>
      </w:r>
      <w:r>
        <w:rPr>
          <w:rFonts w:hint="eastAsia"/>
        </w:rPr>
        <w:t>XTO</w:t>
      </w:r>
      <w:r>
        <w:rPr>
          <w:rFonts w:hint="eastAsia"/>
        </w:rPr>
        <w:t>能源公司的常规天然气和非常规天然气资源的交易。</w:t>
      </w:r>
    </w:p>
    <w:p w:rsidR="00CA619C" w:rsidRDefault="00CA619C" w:rsidP="00CA619C">
      <w:pPr>
        <w:pStyle w:val="Heading3"/>
        <w:numPr>
          <w:ilvl w:val="2"/>
          <w:numId w:val="1"/>
        </w:numPr>
        <w:tabs>
          <w:tab w:val="clear" w:pos="720"/>
        </w:tabs>
        <w:rPr>
          <w:rFonts w:hint="eastAsia"/>
        </w:rPr>
      </w:pPr>
      <w:bookmarkStart w:id="118" w:name="_Toc392853139"/>
      <w:r>
        <w:rPr>
          <w:rFonts w:hint="eastAsia"/>
        </w:rPr>
        <w:t>美国重视科技创新人才积累与知识创新</w:t>
      </w:r>
      <w:bookmarkEnd w:id="118"/>
    </w:p>
    <w:p w:rsidR="00CA619C" w:rsidRDefault="00CA619C" w:rsidP="00CA619C">
      <w:pPr>
        <w:ind w:firstLine="480"/>
        <w:rPr>
          <w:rFonts w:hint="eastAsia"/>
        </w:rPr>
      </w:pPr>
      <w:r>
        <w:rPr>
          <w:rFonts w:hint="eastAsia"/>
        </w:rPr>
        <w:t>目前，美国在科技人才积累与知识创新方面位居世界前列。截至</w:t>
      </w:r>
      <w:r>
        <w:rPr>
          <w:rFonts w:hint="eastAsia"/>
        </w:rPr>
        <w:t>2009</w:t>
      </w:r>
      <w:r>
        <w:rPr>
          <w:rFonts w:hint="eastAsia"/>
        </w:rPr>
        <w:t>年，全球</w:t>
      </w:r>
      <w:r>
        <w:rPr>
          <w:rFonts w:hint="eastAsia"/>
        </w:rPr>
        <w:t>40</w:t>
      </w:r>
      <w:r>
        <w:rPr>
          <w:rFonts w:hint="eastAsia"/>
        </w:rPr>
        <w:t>％的诺贝尔奖得主来自美国。美国在全球科技进步中的主导地位，还体现在论文及专利的高产出上。中国科技信息研究所的研究表明，</w:t>
      </w:r>
      <w:r>
        <w:rPr>
          <w:rFonts w:hint="eastAsia"/>
        </w:rPr>
        <w:t>2008</w:t>
      </w:r>
      <w:r>
        <w:rPr>
          <w:rFonts w:hint="eastAsia"/>
        </w:rPr>
        <w:t>年，三大国际检索系统</w:t>
      </w:r>
      <w:r>
        <w:rPr>
          <w:rFonts w:hint="eastAsia"/>
        </w:rPr>
        <w:t>SCI</w:t>
      </w:r>
      <w:r>
        <w:rPr>
          <w:rFonts w:hint="eastAsia"/>
        </w:rPr>
        <w:t>、</w:t>
      </w:r>
      <w:r>
        <w:rPr>
          <w:rFonts w:hint="eastAsia"/>
        </w:rPr>
        <w:t>EI</w:t>
      </w:r>
      <w:r>
        <w:rPr>
          <w:rFonts w:hint="eastAsia"/>
        </w:rPr>
        <w:t>、</w:t>
      </w:r>
      <w:r>
        <w:rPr>
          <w:rFonts w:hint="eastAsia"/>
        </w:rPr>
        <w:t>ISTP</w:t>
      </w:r>
      <w:r>
        <w:rPr>
          <w:rFonts w:hint="eastAsia"/>
        </w:rPr>
        <w:t>共收录美国作者论文</w:t>
      </w:r>
      <w:r>
        <w:rPr>
          <w:rFonts w:hint="eastAsia"/>
        </w:rPr>
        <w:t>62.5</w:t>
      </w:r>
      <w:r>
        <w:rPr>
          <w:rFonts w:hint="eastAsia"/>
        </w:rPr>
        <w:t>万篇，占世界份额的</w:t>
      </w:r>
      <w:r>
        <w:rPr>
          <w:rFonts w:hint="eastAsia"/>
        </w:rPr>
        <w:t>26.6</w:t>
      </w:r>
      <w:r>
        <w:rPr>
          <w:rFonts w:hint="eastAsia"/>
        </w:rPr>
        <w:t>％，其中</w:t>
      </w:r>
      <w:r>
        <w:rPr>
          <w:rFonts w:hint="eastAsia"/>
        </w:rPr>
        <w:t>SCI</w:t>
      </w:r>
      <w:r>
        <w:rPr>
          <w:rFonts w:hint="eastAsia"/>
        </w:rPr>
        <w:t>论文</w:t>
      </w:r>
      <w:r>
        <w:rPr>
          <w:rFonts w:hint="eastAsia"/>
        </w:rPr>
        <w:t>40.6</w:t>
      </w:r>
      <w:r>
        <w:rPr>
          <w:rFonts w:hint="eastAsia"/>
        </w:rPr>
        <w:t>万篇，占世界论文总数的</w:t>
      </w:r>
      <w:r>
        <w:rPr>
          <w:rFonts w:hint="eastAsia"/>
        </w:rPr>
        <w:t>28.3</w:t>
      </w:r>
      <w:r>
        <w:rPr>
          <w:rFonts w:hint="eastAsia"/>
        </w:rPr>
        <w:t>％，三大国际检索系统收录的美国作者论文量均居世界首位。根据基本科学指标（</w:t>
      </w:r>
      <w:r>
        <w:rPr>
          <w:rFonts w:hint="eastAsia"/>
        </w:rPr>
        <w:t>ESI</w:t>
      </w:r>
      <w:r>
        <w:rPr>
          <w:rFonts w:hint="eastAsia"/>
        </w:rPr>
        <w:t>）的统计，</w:t>
      </w:r>
      <w:r>
        <w:rPr>
          <w:rFonts w:hint="eastAsia"/>
        </w:rPr>
        <w:t>2000</w:t>
      </w:r>
      <w:r>
        <w:rPr>
          <w:rFonts w:hint="eastAsia"/>
        </w:rPr>
        <w:t>年至</w:t>
      </w:r>
      <w:r>
        <w:rPr>
          <w:rFonts w:hint="eastAsia"/>
        </w:rPr>
        <w:t>2010</w:t>
      </w:r>
      <w:r>
        <w:rPr>
          <w:rFonts w:hint="eastAsia"/>
        </w:rPr>
        <w:t>年间，美国论文被引用次数以</w:t>
      </w:r>
      <w:r>
        <w:rPr>
          <w:rFonts w:hint="eastAsia"/>
        </w:rPr>
        <w:t>4192</w:t>
      </w:r>
      <w:r>
        <w:rPr>
          <w:rFonts w:hint="eastAsia"/>
        </w:rPr>
        <w:t>万多次遥遥领先于其他国家。</w:t>
      </w:r>
    </w:p>
    <w:p w:rsidR="00CA619C" w:rsidRDefault="00CA619C" w:rsidP="00CA619C">
      <w:pPr>
        <w:pStyle w:val="Heading3"/>
        <w:numPr>
          <w:ilvl w:val="2"/>
          <w:numId w:val="1"/>
        </w:numPr>
        <w:tabs>
          <w:tab w:val="clear" w:pos="720"/>
        </w:tabs>
      </w:pPr>
      <w:bookmarkStart w:id="119" w:name="_Toc392853140"/>
      <w:r>
        <w:rPr>
          <w:rFonts w:hint="eastAsia"/>
        </w:rPr>
        <w:t>美国建立“绿色技术”专利通道</w:t>
      </w:r>
      <w:bookmarkEnd w:id="119"/>
    </w:p>
    <w:p w:rsidR="00CA619C" w:rsidRDefault="00CA619C" w:rsidP="00CA619C">
      <w:pPr>
        <w:ind w:firstLine="480"/>
        <w:rPr>
          <w:rFonts w:hint="eastAsia"/>
        </w:rPr>
      </w:pPr>
      <w:r>
        <w:rPr>
          <w:rFonts w:hint="eastAsia"/>
        </w:rPr>
        <w:t>目前，</w:t>
      </w:r>
      <w:r>
        <w:t>美国是世界上拥有专利最多</w:t>
      </w:r>
      <w:r>
        <w:rPr>
          <w:rFonts w:hint="eastAsia"/>
        </w:rPr>
        <w:t>、创新速度最快</w:t>
      </w:r>
      <w:r>
        <w:t>的国家。</w:t>
      </w:r>
      <w:r>
        <w:rPr>
          <w:rFonts w:hint="eastAsia"/>
        </w:rPr>
        <w:t>以清洁能源为例，纽约州奥尔巴尼</w:t>
      </w:r>
      <w:r>
        <w:rPr>
          <w:rFonts w:hint="eastAsia"/>
        </w:rPr>
        <w:t xml:space="preserve"> Heslin Rothenberg Farley &amp; Mesiti P.C.</w:t>
      </w:r>
      <w:r>
        <w:rPr>
          <w:rFonts w:hint="eastAsia"/>
        </w:rPr>
        <w:t>律师事务所发布的清洁能源技术专利增长指数（</w:t>
      </w:r>
      <w:r>
        <w:rPr>
          <w:rFonts w:hint="eastAsia"/>
        </w:rPr>
        <w:t>CEPGI</w:t>
      </w:r>
      <w:r>
        <w:rPr>
          <w:rFonts w:hint="eastAsia"/>
        </w:rPr>
        <w:t>）（反映的是清洁能源技术在美国国家专利和商标办公室（</w:t>
      </w:r>
      <w:r>
        <w:rPr>
          <w:rFonts w:hint="eastAsia"/>
        </w:rPr>
        <w:t>The US Patent and Trademark Office</w:t>
      </w:r>
      <w:r>
        <w:rPr>
          <w:rFonts w:hint="eastAsia"/>
        </w:rPr>
        <w:t>）申请专利的情况，这些技术包括太阳能、风能、混合动力和电动汽车、燃料电池、水力发电、潮汐能、地热能、生物能和生物燃料）显示，由美国专利和商标局授予的清洁能源技术专利数量在</w:t>
      </w:r>
      <w:r>
        <w:rPr>
          <w:rFonts w:hint="eastAsia"/>
        </w:rPr>
        <w:t>2010</w:t>
      </w:r>
      <w:r>
        <w:rPr>
          <w:rFonts w:hint="eastAsia"/>
        </w:rPr>
        <w:t>年达到了创纪录的水平，约</w:t>
      </w:r>
      <w:r>
        <w:rPr>
          <w:rFonts w:hint="eastAsia"/>
        </w:rPr>
        <w:t>2000</w:t>
      </w:r>
      <w:r>
        <w:rPr>
          <w:rFonts w:hint="eastAsia"/>
        </w:rPr>
        <w:t>项的清洁能源技术专利获批，同比增长</w:t>
      </w:r>
      <w:r>
        <w:rPr>
          <w:rFonts w:hint="eastAsia"/>
        </w:rPr>
        <w:t>170%</w:t>
      </w:r>
      <w:r>
        <w:rPr>
          <w:rFonts w:hint="eastAsia"/>
        </w:rPr>
        <w:t>，，是自</w:t>
      </w:r>
      <w:r>
        <w:rPr>
          <w:rFonts w:hint="eastAsia"/>
        </w:rPr>
        <w:t>2002</w:t>
      </w:r>
      <w:r>
        <w:rPr>
          <w:rFonts w:hint="eastAsia"/>
        </w:rPr>
        <w:t>年该事务所首次追踪清洁能源技术创新趋势以来同比增长最快的一年。其中，太阳能技术专利数量同比增长了</w:t>
      </w:r>
      <w:r>
        <w:rPr>
          <w:rFonts w:hint="eastAsia"/>
        </w:rPr>
        <w:t>134%</w:t>
      </w:r>
      <w:r>
        <w:rPr>
          <w:rFonts w:hint="eastAsia"/>
        </w:rPr>
        <w:t>，混合动力和电动车技术专利数量增长了</w:t>
      </w:r>
      <w:r>
        <w:rPr>
          <w:rFonts w:hint="eastAsia"/>
        </w:rPr>
        <w:t>60%</w:t>
      </w:r>
      <w:r>
        <w:rPr>
          <w:rFonts w:hint="eastAsia"/>
        </w:rPr>
        <w:t>。</w:t>
      </w:r>
      <w:r>
        <w:rPr>
          <w:rStyle w:val="FootnoteReference"/>
          <w:rFonts w:ascii="宋体" w:hAnsi="宋体" w:cs="宋体"/>
        </w:rPr>
        <w:footnoteReference w:id="18"/>
      </w:r>
      <w:r>
        <w:rPr>
          <w:rFonts w:hint="eastAsia"/>
        </w:rPr>
        <w:t xml:space="preserve">  </w:t>
      </w:r>
      <w:r>
        <w:rPr>
          <w:rFonts w:hint="eastAsia"/>
        </w:rPr>
        <w:t>同时，在专利审批领域，</w:t>
      </w:r>
      <w:r>
        <w:rPr>
          <w:rFonts w:hint="eastAsia"/>
        </w:rPr>
        <w:t>2009</w:t>
      </w:r>
      <w:r>
        <w:rPr>
          <w:rFonts w:hint="eastAsia"/>
        </w:rPr>
        <w:t>年美国专利和商标局还一度特别推出了快速处理“绿色技术”专利申请的计划，以加强对绿色能源技术的专利服务。据此一些“与环境质量、能源节约、可再生能源资源的开发、或温室气体减排”有关的技术专利申请也基本上得到了快速审理。</w:t>
      </w:r>
    </w:p>
    <w:p w:rsidR="00CA619C" w:rsidRDefault="00CA619C" w:rsidP="00CA619C">
      <w:pPr>
        <w:pStyle w:val="Heading2"/>
        <w:tabs>
          <w:tab w:val="clear" w:pos="575"/>
        </w:tabs>
        <w:rPr>
          <w:rFonts w:hint="eastAsia"/>
        </w:rPr>
      </w:pPr>
      <w:bookmarkStart w:id="120" w:name="_Toc392853141"/>
      <w:r>
        <w:rPr>
          <w:rFonts w:hint="eastAsia"/>
        </w:rPr>
        <w:t>政策环境与社会氛围</w:t>
      </w:r>
      <w:bookmarkEnd w:id="120"/>
    </w:p>
    <w:p w:rsidR="00CA619C" w:rsidRDefault="00CA619C" w:rsidP="00CA619C">
      <w:pPr>
        <w:ind w:firstLine="480"/>
        <w:rPr>
          <w:rFonts w:hint="eastAsia"/>
        </w:rPr>
      </w:pPr>
      <w:r>
        <w:rPr>
          <w:rFonts w:hint="eastAsia"/>
        </w:rPr>
        <w:t>美国新兴能源产业技术的快速发展和应用与美国政府创造的政策及环境支持密不可分，同时，政府在新兴能源产业技术发展初期，还辅助提供大规模的政府资金支持，这都为美国新兴能源产业技术创新奠定了良好的基础环境。</w:t>
      </w:r>
    </w:p>
    <w:p w:rsidR="00CA619C" w:rsidRDefault="00CA619C" w:rsidP="00CA619C">
      <w:pPr>
        <w:pStyle w:val="Heading3"/>
        <w:numPr>
          <w:ilvl w:val="2"/>
          <w:numId w:val="1"/>
        </w:numPr>
        <w:tabs>
          <w:tab w:val="clear" w:pos="720"/>
        </w:tabs>
        <w:rPr>
          <w:rFonts w:hint="eastAsia"/>
        </w:rPr>
      </w:pPr>
      <w:bookmarkStart w:id="121" w:name="_Toc392853142"/>
      <w:r>
        <w:rPr>
          <w:rFonts w:hint="eastAsia"/>
        </w:rPr>
        <w:t>良好的新兴能源产业发展战略与措施</w:t>
      </w:r>
      <w:bookmarkEnd w:id="121"/>
    </w:p>
    <w:p w:rsidR="00CA619C" w:rsidRDefault="00CA619C" w:rsidP="00CA619C">
      <w:pPr>
        <w:ind w:firstLine="480"/>
        <w:rPr>
          <w:rFonts w:hint="eastAsia"/>
        </w:rPr>
      </w:pPr>
      <w:r>
        <w:rPr>
          <w:rFonts w:hint="eastAsia"/>
        </w:rPr>
        <w:t>任何一个新的能源技术的出现及发展，都难以离开政府早期的支持与重视。美国在新能源产业发展过程中的战略与措施恰恰成就了美国新能源产业的发展。</w:t>
      </w:r>
    </w:p>
    <w:p w:rsidR="00CA619C" w:rsidRDefault="00CA619C" w:rsidP="00CA619C">
      <w:pPr>
        <w:ind w:firstLine="480"/>
        <w:rPr>
          <w:rFonts w:hint="eastAsia"/>
        </w:rPr>
      </w:pPr>
      <w:r>
        <w:rPr>
          <w:rFonts w:hint="eastAsia"/>
        </w:rPr>
        <w:t>新能源产业的选择与培育，在美国已经有相当长的发展历程，政府自石油危机之后一直保持对这一领域的关注。在新近制定的各项计划中，政府给予新能源发展以巨额的资金保障，促进技术创新与产品生产。美国也迫切需要将新能源培育成为战略性内生经济类型，振兴经济，带动产业链条升级。另外，政府在税收和配套产业方面，也给予了明确支持。一是政府的长期关注与支持。美国是世界能源消费大国之一，能源问题是历届政府的重点工作。比如，布什政府时期，美国国会通过了《国家能源政策》报告，涉及到美国面临的能源挑战、能源高价格对美国的冲击、保护环境、加强能源节约和提高能源效率、增加国内能源供应、加强可再生能源和替代能源的使用，改善能源基础设施、加强国家能源安全和国际关系等方面，体现了政府对能源问题的高度重视。</w:t>
      </w:r>
      <w:r>
        <w:rPr>
          <w:rFonts w:hint="eastAsia"/>
        </w:rPr>
        <w:t>2007</w:t>
      </w:r>
      <w:r>
        <w:rPr>
          <w:rFonts w:hint="eastAsia"/>
        </w:rPr>
        <w:t>年，布什政府还制订了《能源独立和安全法案》，旨在从根本上改变美国能源使用模式，尤其是进一步明确了可再生能源和降低原油供应依赖性的重要意义。在奥巴马新政府组建以来，官方对新能源的支持和关注程度空前提高，在政策、资金、计划和研发等方面都给予了极大支持，对新能源寄予了厚望。</w:t>
      </w:r>
    </w:p>
    <w:p w:rsidR="00CA619C" w:rsidRDefault="00CA619C" w:rsidP="00CA619C">
      <w:pPr>
        <w:pStyle w:val="Heading3"/>
        <w:numPr>
          <w:ilvl w:val="2"/>
          <w:numId w:val="1"/>
        </w:numPr>
        <w:tabs>
          <w:tab w:val="clear" w:pos="720"/>
        </w:tabs>
        <w:rPr>
          <w:rFonts w:hint="eastAsia"/>
        </w:rPr>
      </w:pPr>
      <w:bookmarkStart w:id="122" w:name="_Toc392853143"/>
      <w:r>
        <w:rPr>
          <w:rFonts w:hint="eastAsia"/>
        </w:rPr>
        <w:t>良好的法律及政策环境</w:t>
      </w:r>
      <w:bookmarkEnd w:id="122"/>
    </w:p>
    <w:p w:rsidR="00CA619C" w:rsidRDefault="00CA619C" w:rsidP="00CA619C">
      <w:pPr>
        <w:ind w:firstLine="480"/>
        <w:rPr>
          <w:rFonts w:hint="eastAsia"/>
        </w:rPr>
      </w:pPr>
      <w:r>
        <w:rPr>
          <w:rFonts w:hint="eastAsia"/>
        </w:rPr>
        <w:t>美国能源领域的法律基础非常健全，各项能源基本法案都为新兴能源产业技术创新及产业发展奠定很好法律基础。在页岩气领域，美国能源立法将天然气生产和运输分离有助于页岩气的管道准入。在页岩气勘探开发初期，依托美国发达的天然气输送通道，油气生产商几乎可以为美国</w:t>
      </w:r>
      <w:r>
        <w:rPr>
          <w:rFonts w:hint="eastAsia"/>
        </w:rPr>
        <w:t>48</w:t>
      </w:r>
      <w:r>
        <w:rPr>
          <w:rFonts w:hint="eastAsia"/>
        </w:rPr>
        <w:t>个州的任何地区输送天然气，而页岩气分布紧邻常规天然气田，可以方便借用已有的天然气管网，促使新开采出来的页岩气能够快速进入管网系统，使得页岩气应用简单快捷。事实上，美国关于土地所有所有权的相关立法基础也为美国页岩气繁荣奠定了法律环境，在美国土地的地表权和矿业权是分开的，这非常有利于开采商灵活获取页岩气上游资源。在美国，由于土地的地表权和矿业权是相分离的，所以美国矿业权人对页岩气矿业权可以采取自主经营或通过市场交易的方式进行出让，这就使得页岩气开采商能够顺利实现对页岩气资源的开采权的获得。美国联邦政府在全美拥有</w:t>
      </w:r>
      <w:r>
        <w:rPr>
          <w:rFonts w:hint="eastAsia"/>
        </w:rPr>
        <w:t>11%</w:t>
      </w:r>
      <w:r>
        <w:rPr>
          <w:rFonts w:hint="eastAsia"/>
        </w:rPr>
        <w:t>左右的土地，其它大部分为私有土地。在私有土地上，页岩气开采商可以通过和矿业权权利人签署租约，在设钻井与铺管道的土地上与地表权权利人签署单独的协议，并取得州管理机构的许可。联邦法律规定对公有土地使用实行规划，规划每十年审核一次，公众广泛参与，私营公司可竞标获取在公有土地上的钻探权，并支付给政府相应的租金、费用及矿区使用费。</w:t>
      </w:r>
    </w:p>
    <w:p w:rsidR="00CA619C" w:rsidRDefault="00CA619C" w:rsidP="00CA619C">
      <w:pPr>
        <w:ind w:firstLine="480"/>
      </w:pPr>
      <w:r>
        <w:rPr>
          <w:rFonts w:hint="eastAsia"/>
        </w:rPr>
        <w:t>在储能领域，美国储能产业的发展较早，全球很多的先进储能技术都来自于美国。据统计，美国从</w:t>
      </w:r>
      <w:r>
        <w:t>2009</w:t>
      </w:r>
      <w:r>
        <w:rPr>
          <w:rFonts w:hint="eastAsia"/>
        </w:rPr>
        <w:t>年开始，就逐步出台了各类与储能直接相关的政策来支持储能技术的研发和示范应用。近两年的储能政策分别从标准、补贴、项目应用等方面进一步发展储能产业。具体的政策如下：</w:t>
      </w:r>
    </w:p>
    <w:p w:rsidR="00CA619C" w:rsidRDefault="00CA619C" w:rsidP="00CA619C">
      <w:pPr>
        <w:spacing w:afterLines="50" w:after="156" w:line="400" w:lineRule="exact"/>
        <w:ind w:firstLine="519"/>
      </w:pPr>
      <w:r>
        <w:rPr>
          <w:rFonts w:hint="eastAsia"/>
          <w:b/>
        </w:rPr>
        <w:t>《</w:t>
      </w:r>
      <w:r>
        <w:rPr>
          <w:b/>
        </w:rPr>
        <w:t>AB2514</w:t>
      </w:r>
      <w:r>
        <w:rPr>
          <w:rFonts w:hint="eastAsia"/>
          <w:b/>
        </w:rPr>
        <w:t>》号法案：</w:t>
      </w:r>
      <w:r>
        <w:rPr>
          <w:rFonts w:hint="eastAsia"/>
        </w:rPr>
        <w:t>美国加州政府于</w:t>
      </w:r>
      <w:r>
        <w:t>2010</w:t>
      </w:r>
      <w:r>
        <w:rPr>
          <w:rFonts w:hint="eastAsia"/>
        </w:rPr>
        <w:t>年</w:t>
      </w:r>
      <w:r>
        <w:t>9</w:t>
      </w:r>
      <w:r>
        <w:rPr>
          <w:rFonts w:hint="eastAsia"/>
        </w:rPr>
        <w:t>月</w:t>
      </w:r>
      <w:r>
        <w:t>29</w:t>
      </w:r>
      <w:r>
        <w:rPr>
          <w:rFonts w:hint="eastAsia"/>
        </w:rPr>
        <w:t>日发布，要求</w:t>
      </w:r>
      <w:r>
        <w:t>CPUC</w:t>
      </w:r>
      <w:r>
        <w:rPr>
          <w:rFonts w:hint="eastAsia"/>
        </w:rPr>
        <w:t>（加州公用事业委员会）在</w:t>
      </w:r>
      <w:r>
        <w:t>2013</w:t>
      </w:r>
      <w:r>
        <w:rPr>
          <w:rFonts w:hint="eastAsia"/>
        </w:rPr>
        <w:t>年</w:t>
      </w:r>
      <w:r>
        <w:t>10</w:t>
      </w:r>
      <w:r>
        <w:rPr>
          <w:rFonts w:hint="eastAsia"/>
        </w:rPr>
        <w:t>月</w:t>
      </w:r>
      <w:r>
        <w:t>1</w:t>
      </w:r>
      <w:r>
        <w:rPr>
          <w:rFonts w:hint="eastAsia"/>
        </w:rPr>
        <w:t>日前制定出切实可行、具有成本效益的储能系统安装标准，扩大储能系统使用范围，并要求加州所有公共机构和电力相关企业于</w:t>
      </w:r>
      <w:r>
        <w:t>2015</w:t>
      </w:r>
      <w:r>
        <w:rPr>
          <w:rFonts w:hint="eastAsia"/>
        </w:rPr>
        <w:t>年和</w:t>
      </w:r>
      <w:r>
        <w:t>2020</w:t>
      </w:r>
      <w:r>
        <w:rPr>
          <w:rFonts w:hint="eastAsia"/>
        </w:rPr>
        <w:t>年达到</w:t>
      </w:r>
      <w:r>
        <w:t>CPUC</w:t>
      </w:r>
      <w:r>
        <w:rPr>
          <w:rFonts w:hint="eastAsia"/>
        </w:rPr>
        <w:t>制定的第一、二期储能系统安装目标。该法案的目的是通过储能技术实现可再生能源并网及调峰作用。</w:t>
      </w:r>
    </w:p>
    <w:p w:rsidR="00CA619C" w:rsidRDefault="00CA619C" w:rsidP="00CA619C">
      <w:pPr>
        <w:spacing w:afterLines="50" w:after="156" w:line="400" w:lineRule="exact"/>
        <w:ind w:firstLine="519"/>
      </w:pPr>
      <w:r>
        <w:rPr>
          <w:rFonts w:hint="eastAsia"/>
          <w:b/>
        </w:rPr>
        <w:t>《</w:t>
      </w:r>
      <w:r>
        <w:rPr>
          <w:b/>
        </w:rPr>
        <w:t>2011-2015</w:t>
      </w:r>
      <w:r>
        <w:rPr>
          <w:rFonts w:hint="eastAsia"/>
          <w:b/>
        </w:rPr>
        <w:t>储能计划》：</w:t>
      </w:r>
      <w:r>
        <w:rPr>
          <w:rFonts w:hint="eastAsia"/>
        </w:rPr>
        <w:t>美国能源部于</w:t>
      </w:r>
      <w:r>
        <w:t>2011</w:t>
      </w:r>
      <w:r>
        <w:rPr>
          <w:rFonts w:hint="eastAsia"/>
        </w:rPr>
        <w:t>年</w:t>
      </w:r>
      <w:r>
        <w:t>2</w:t>
      </w:r>
      <w:r>
        <w:rPr>
          <w:rFonts w:hint="eastAsia"/>
        </w:rPr>
        <w:t>月发布，该计划主要关注</w:t>
      </w:r>
      <w:r>
        <w:t>——</w:t>
      </w:r>
      <w:r>
        <w:rPr>
          <w:rFonts w:hint="eastAsia"/>
        </w:rPr>
        <w:t>如何安装储能系统以实现其最大效用；储能系统的成本、安全性及使用周期的研发和应用事宜；促进技术研发并建设示范项目展示储能的价值链条，通过示范项目的建设及运营反馈指导科研方向；储能设备的工业设计，以实现其大规模产业化生产。</w:t>
      </w:r>
    </w:p>
    <w:p w:rsidR="00CA619C" w:rsidRDefault="00CA619C" w:rsidP="00CA619C">
      <w:pPr>
        <w:spacing w:afterLines="50" w:after="156" w:line="400" w:lineRule="exact"/>
        <w:ind w:firstLine="519"/>
      </w:pPr>
      <w:r>
        <w:rPr>
          <w:rFonts w:hint="eastAsia"/>
          <w:b/>
        </w:rPr>
        <w:t>《</w:t>
      </w:r>
      <w:r>
        <w:rPr>
          <w:b/>
        </w:rPr>
        <w:t>2011</w:t>
      </w:r>
      <w:r>
        <w:rPr>
          <w:rFonts w:hint="eastAsia"/>
          <w:b/>
        </w:rPr>
        <w:t>年</w:t>
      </w:r>
      <w:r>
        <w:rPr>
          <w:b/>
        </w:rPr>
        <w:t xml:space="preserve">SGIP </w:t>
      </w:r>
      <w:r>
        <w:rPr>
          <w:rFonts w:hint="eastAsia"/>
          <w:b/>
        </w:rPr>
        <w:t>计划》：</w:t>
      </w:r>
      <w:r>
        <w:rPr>
          <w:rFonts w:hint="eastAsia"/>
        </w:rPr>
        <w:t>美国加州公用事业委员会于</w:t>
      </w:r>
      <w:r>
        <w:t>2011</w:t>
      </w:r>
      <w:r>
        <w:rPr>
          <w:rFonts w:hint="eastAsia"/>
        </w:rPr>
        <w:t>年</w:t>
      </w:r>
      <w:r>
        <w:t>10</w:t>
      </w:r>
      <w:r>
        <w:rPr>
          <w:rFonts w:hint="eastAsia"/>
        </w:rPr>
        <w:t>月</w:t>
      </w:r>
      <w:r>
        <w:t>10</w:t>
      </w:r>
      <w:r>
        <w:rPr>
          <w:rFonts w:hint="eastAsia"/>
        </w:rPr>
        <w:t>日发布，计划涵盖了与太阳能发电或其他</w:t>
      </w:r>
      <w:r>
        <w:t>SGIP</w:t>
      </w:r>
      <w:r>
        <w:rPr>
          <w:rFonts w:hint="eastAsia"/>
        </w:rPr>
        <w:t>发电技术相结合的储能系统，创举性的提出为独立储能系统提供补贴，只要可以达到最低</w:t>
      </w:r>
      <w:r>
        <w:t>2</w:t>
      </w:r>
      <w:r>
        <w:rPr>
          <w:rFonts w:hint="eastAsia"/>
        </w:rPr>
        <w:t>小时的额定放电功率，即按照</w:t>
      </w:r>
      <w:r>
        <w:t>2</w:t>
      </w:r>
      <w:r>
        <w:rPr>
          <w:rFonts w:hint="eastAsia"/>
        </w:rPr>
        <w:t>美元</w:t>
      </w:r>
      <w:r>
        <w:t xml:space="preserve">/W </w:t>
      </w:r>
      <w:r>
        <w:rPr>
          <w:rFonts w:hint="eastAsia"/>
        </w:rPr>
        <w:t>的标准补贴，对热电联动的燃料电池的激励标准则定为</w:t>
      </w:r>
      <w:r>
        <w:t>2.25</w:t>
      </w:r>
      <w:r>
        <w:rPr>
          <w:rFonts w:hint="eastAsia"/>
        </w:rPr>
        <w:t>美元</w:t>
      </w:r>
      <w:r>
        <w:t>/W</w:t>
      </w:r>
      <w:r>
        <w:rPr>
          <w:rFonts w:hint="eastAsia"/>
        </w:rPr>
        <w:t>。</w:t>
      </w:r>
    </w:p>
    <w:p w:rsidR="00CA619C" w:rsidRDefault="00CA619C" w:rsidP="00CA619C">
      <w:pPr>
        <w:spacing w:afterLines="50" w:after="156" w:line="400" w:lineRule="exact"/>
        <w:ind w:firstLine="519"/>
      </w:pPr>
      <w:r>
        <w:rPr>
          <w:rFonts w:hint="eastAsia"/>
          <w:b/>
        </w:rPr>
        <w:t>《为效果付费政策》：</w:t>
      </w:r>
      <w:r>
        <w:rPr>
          <w:rFonts w:hint="eastAsia"/>
        </w:rPr>
        <w:t>美国能源委员会于</w:t>
      </w:r>
      <w:r>
        <w:t>2011</w:t>
      </w:r>
      <w:r>
        <w:rPr>
          <w:rFonts w:hint="eastAsia"/>
        </w:rPr>
        <w:t>年</w:t>
      </w:r>
      <w:r>
        <w:t>10</w:t>
      </w:r>
      <w:r>
        <w:rPr>
          <w:rFonts w:hint="eastAsia"/>
        </w:rPr>
        <w:t>月</w:t>
      </w:r>
      <w:r>
        <w:t>20</w:t>
      </w:r>
      <w:r>
        <w:rPr>
          <w:rFonts w:hint="eastAsia"/>
        </w:rPr>
        <w:t>日发布，将储能技术纳入调频辅助服务范围，承认储能是提供调频服务机构，增加提供调频服务的机构数量，纠正该服务的市场价格信号，使储能系统在该领域与传统发电系统之间竞争更加公平。</w:t>
      </w:r>
    </w:p>
    <w:p w:rsidR="00CA619C" w:rsidRDefault="00CA619C" w:rsidP="00CA619C">
      <w:pPr>
        <w:pStyle w:val="Heading3"/>
        <w:numPr>
          <w:ilvl w:val="2"/>
          <w:numId w:val="1"/>
        </w:numPr>
        <w:tabs>
          <w:tab w:val="clear" w:pos="720"/>
        </w:tabs>
        <w:rPr>
          <w:rFonts w:hint="eastAsia"/>
        </w:rPr>
      </w:pPr>
      <w:bookmarkStart w:id="123" w:name="_Toc392853144"/>
      <w:r>
        <w:rPr>
          <w:rFonts w:hint="eastAsia"/>
        </w:rPr>
        <w:t>以明确的产业发展目标及规划引导技术创新</w:t>
      </w:r>
      <w:bookmarkEnd w:id="123"/>
    </w:p>
    <w:p w:rsidR="00CA619C" w:rsidRDefault="00CA619C" w:rsidP="00CA619C">
      <w:pPr>
        <w:ind w:firstLine="480"/>
        <w:rPr>
          <w:rFonts w:hint="eastAsia"/>
        </w:rPr>
      </w:pPr>
      <w:r>
        <w:rPr>
          <w:rFonts w:hint="eastAsia"/>
        </w:rPr>
        <w:t>在美国，若明确某一产业的发展的重要性及产业发展前景的前提性，往往会通过美国会将该产业及技术研发提升到国家战略的高度来重视。例如，近年来，美国能源部支持清洁能源与储能产业的发展就尤为突出。目前，美国政府已将储能技术定位为支撑新能源发展的战略性技术，并对本国内的各种储能技术创新来源给予了较大的支持，推动技术创新公司或机构得以将研发技术产业化。</w:t>
      </w:r>
    </w:p>
    <w:p w:rsidR="00CA619C" w:rsidRDefault="00CA619C" w:rsidP="00CA619C">
      <w:pPr>
        <w:ind w:firstLine="480"/>
        <w:rPr>
          <w:rFonts w:hint="eastAsia"/>
        </w:rPr>
      </w:pPr>
      <w:r>
        <w:rPr>
          <w:rFonts w:hint="eastAsia"/>
        </w:rPr>
        <w:t>美国能源部</w:t>
      </w:r>
      <w:bookmarkStart w:id="124" w:name="_Toc333017714"/>
      <w:bookmarkStart w:id="125" w:name="_Toc343438549"/>
      <w:r>
        <w:rPr>
          <w:rFonts w:hint="eastAsia"/>
        </w:rPr>
        <w:t>正式通过“战略计划”将储能上升到战略层面</w:t>
      </w:r>
      <w:bookmarkEnd w:id="124"/>
      <w:bookmarkEnd w:id="125"/>
      <w:r>
        <w:rPr>
          <w:rFonts w:hint="eastAsia"/>
        </w:rPr>
        <w:t>。</w:t>
      </w:r>
      <w:r>
        <w:rPr>
          <w:rFonts w:hint="eastAsia"/>
        </w:rPr>
        <w:t>2011</w:t>
      </w:r>
      <w:r>
        <w:rPr>
          <w:rFonts w:hint="eastAsia"/>
        </w:rPr>
        <w:t>年</w:t>
      </w:r>
      <w:r>
        <w:rPr>
          <w:rFonts w:hint="eastAsia"/>
        </w:rPr>
        <w:t>5</w:t>
      </w:r>
      <w:r>
        <w:rPr>
          <w:rFonts w:hint="eastAsia"/>
        </w:rPr>
        <w:t>月美国能源部发布的“</w:t>
      </w:r>
      <w:r>
        <w:rPr>
          <w:rFonts w:hint="eastAsia"/>
        </w:rPr>
        <w:t>strategic plan</w:t>
      </w:r>
      <w:r>
        <w:rPr>
          <w:rFonts w:hint="eastAsia"/>
        </w:rPr>
        <w:t>”</w:t>
      </w:r>
      <w:r>
        <w:rPr>
          <w:rFonts w:hint="eastAsia"/>
        </w:rPr>
        <w:t xml:space="preserve"> </w:t>
      </w:r>
      <w:r>
        <w:rPr>
          <w:rFonts w:hint="eastAsia"/>
        </w:rPr>
        <w:t>对通过科技创新应对能源、环境以及核安全的挑战，确保国家安全与繁荣规划了蓝图。该战略规划分为四个部分，一是尽快而有效地促进美国能源结构的转变，确保美国在清洁能源技术方面的领先地位；二是维持美国在科学工程方面的活力，在重要战略领域保持领先优势，并将其作为美国经济繁荣的基石。三是通过防御、防扩散和环境方面的努力，加强美国核安全；四是建立可操作的、灵活工作机制，以有效整合各方智慧，确保最大化实现美国的能源使命。</w:t>
      </w:r>
      <w:r>
        <w:rPr>
          <w:rStyle w:val="FootnoteReference"/>
          <w:rFonts w:ascii="宋体" w:hAnsi="宋体" w:cs="宋体"/>
          <w:color w:val="000000"/>
        </w:rPr>
        <w:footnoteReference w:id="19"/>
      </w:r>
      <w:r>
        <w:rPr>
          <w:rFonts w:hint="eastAsia"/>
        </w:rPr>
        <w:t xml:space="preserve">   </w:t>
      </w:r>
      <w:r>
        <w:rPr>
          <w:rFonts w:hint="eastAsia"/>
        </w:rPr>
        <w:t>同时，该计划明确提出要促进“电网现代化”，而引入储能及其技术，与改善运行方式，能够更灵活以及有效的控制电网，达到实现智能化、稳定化运行的目的。此外，美国政府还清晰地将所要达到的目标落实到实施层面：能源部将在未来</w:t>
      </w:r>
      <w:r>
        <w:rPr>
          <w:rFonts w:hint="eastAsia"/>
        </w:rPr>
        <w:t>1-5</w:t>
      </w:r>
      <w:r>
        <w:rPr>
          <w:rFonts w:hint="eastAsia"/>
        </w:rPr>
        <w:t>年中，为包括从调频服务到大宗能源管理的应用示范与推广提供支持。该计划在预期成果中还提到：（</w:t>
      </w:r>
      <w:r>
        <w:rPr>
          <w:rFonts w:hint="eastAsia"/>
        </w:rPr>
        <w:t>1</w:t>
      </w:r>
      <w:r>
        <w:rPr>
          <w:rFonts w:hint="eastAsia"/>
        </w:rPr>
        <w:t>）到</w:t>
      </w:r>
      <w:r>
        <w:rPr>
          <w:rFonts w:hint="eastAsia"/>
        </w:rPr>
        <w:t>2013</w:t>
      </w:r>
      <w:r>
        <w:rPr>
          <w:rFonts w:hint="eastAsia"/>
        </w:rPr>
        <w:t>年要安装超过</w:t>
      </w:r>
      <w:r>
        <w:rPr>
          <w:rFonts w:hint="eastAsia"/>
        </w:rPr>
        <w:t>1000</w:t>
      </w:r>
      <w:r>
        <w:rPr>
          <w:rFonts w:hint="eastAsia"/>
        </w:rPr>
        <w:t>电子计量设备以更好的认知与控制电网系统；（</w:t>
      </w:r>
      <w:r>
        <w:rPr>
          <w:rFonts w:hint="eastAsia"/>
        </w:rPr>
        <w:t>2</w:t>
      </w:r>
      <w:r>
        <w:rPr>
          <w:rFonts w:hint="eastAsia"/>
        </w:rPr>
        <w:t>）到</w:t>
      </w:r>
      <w:r>
        <w:rPr>
          <w:rFonts w:hint="eastAsia"/>
        </w:rPr>
        <w:t>2013</w:t>
      </w:r>
      <w:r>
        <w:rPr>
          <w:rFonts w:hint="eastAsia"/>
        </w:rPr>
        <w:t>年在美国家庭和商业区安装超过</w:t>
      </w:r>
      <w:r>
        <w:rPr>
          <w:rFonts w:hint="eastAsia"/>
        </w:rPr>
        <w:t>2600</w:t>
      </w:r>
      <w:r>
        <w:rPr>
          <w:rFonts w:hint="eastAsia"/>
        </w:rPr>
        <w:t>万的智能表计；（</w:t>
      </w:r>
      <w:r>
        <w:rPr>
          <w:rFonts w:hint="eastAsia"/>
        </w:rPr>
        <w:t>3</w:t>
      </w:r>
      <w:r>
        <w:rPr>
          <w:rFonts w:hint="eastAsia"/>
        </w:rPr>
        <w:t>）到</w:t>
      </w:r>
      <w:r>
        <w:rPr>
          <w:rFonts w:hint="eastAsia"/>
        </w:rPr>
        <w:t>2015</w:t>
      </w:r>
      <w:r>
        <w:rPr>
          <w:rFonts w:hint="eastAsia"/>
        </w:rPr>
        <w:t>年将应用规模的储能成本降低</w:t>
      </w:r>
      <w:r>
        <w:rPr>
          <w:rFonts w:hint="eastAsia"/>
        </w:rPr>
        <w:t>30%</w:t>
      </w:r>
      <w:r>
        <w:rPr>
          <w:rFonts w:hint="eastAsia"/>
        </w:rPr>
        <w:t>。</w:t>
      </w:r>
      <w:r>
        <w:rPr>
          <w:rStyle w:val="FootnoteReference"/>
          <w:rFonts w:ascii="宋体" w:hAnsi="宋体" w:cs="宋体"/>
        </w:rPr>
        <w:footnoteReference w:id="20"/>
      </w:r>
    </w:p>
    <w:p w:rsidR="00CA619C" w:rsidRDefault="00CA619C" w:rsidP="00CA619C">
      <w:pPr>
        <w:pStyle w:val="Heading3"/>
        <w:numPr>
          <w:ilvl w:val="2"/>
          <w:numId w:val="1"/>
        </w:numPr>
        <w:tabs>
          <w:tab w:val="clear" w:pos="720"/>
        </w:tabs>
        <w:rPr>
          <w:rFonts w:hint="eastAsia"/>
        </w:rPr>
      </w:pPr>
      <w:bookmarkStart w:id="126" w:name="_Toc392853145"/>
      <w:r>
        <w:rPr>
          <w:rFonts w:hint="eastAsia"/>
        </w:rPr>
        <w:t>政府资助研发及健全的产业财税政策扶持</w:t>
      </w:r>
      <w:bookmarkEnd w:id="126"/>
    </w:p>
    <w:p w:rsidR="00CA619C" w:rsidRDefault="00CA619C" w:rsidP="00CA619C">
      <w:pPr>
        <w:numPr>
          <w:ilvl w:val="0"/>
          <w:numId w:val="9"/>
        </w:numPr>
        <w:spacing w:line="360" w:lineRule="auto"/>
        <w:rPr>
          <w:rFonts w:hint="eastAsia"/>
          <w:b/>
        </w:rPr>
      </w:pPr>
      <w:r>
        <w:rPr>
          <w:rFonts w:hint="eastAsia"/>
          <w:b/>
        </w:rPr>
        <w:t>美国新能源领域的资金扶持计划</w:t>
      </w:r>
    </w:p>
    <w:p w:rsidR="00CA619C" w:rsidRDefault="00CA619C" w:rsidP="00CA619C">
      <w:pPr>
        <w:ind w:firstLine="519"/>
        <w:rPr>
          <w:rFonts w:ascii="宋体" w:hAnsi="宋体" w:hint="eastAsia"/>
        </w:rPr>
      </w:pPr>
      <w:r>
        <w:rPr>
          <w:rFonts w:hint="eastAsia"/>
          <w:b/>
        </w:rPr>
        <w:t>在系能源领域，美国为新能源产业的发展提供了</w:t>
      </w:r>
      <w:r>
        <w:rPr>
          <w:rFonts w:ascii="宋体" w:hAnsi="宋体" w:hint="eastAsia"/>
          <w:b/>
        </w:rPr>
        <w:t>巨额的研发资金保障，尤其是对于新能源的研发和推广，美国政府更是给予了巨额资金支持。</w:t>
      </w:r>
      <w:r>
        <w:rPr>
          <w:rFonts w:ascii="宋体" w:hAnsi="宋体" w:hint="eastAsia"/>
        </w:rPr>
        <w:t>根据经济刺激计划方案，美国将在电网改造、可再生能源和输电项目等方面投入大量资金。比如，通过2010年预算中的资金和2009年《美国复苏与再投资法案》中提供的390亿美元，构建以清洁和安全能源驱动的新型经济体系。依托《美国复苏与再投资法案》中为精明电网技术的110亿元投资，升级电网，更新与优化电力传输设施。如表3所示，能源领域成为未来一段时期内美国投资的重点，而新能源研究计划也是这一战略性新兴产业发展的前导工作。</w:t>
      </w:r>
    </w:p>
    <w:p w:rsidR="00CA619C" w:rsidRDefault="00CA619C" w:rsidP="00CA619C">
      <w:pPr>
        <w:pStyle w:val="a"/>
        <w:rPr>
          <w:rFonts w:hint="eastAsia"/>
        </w:rPr>
      </w:pPr>
      <w:bookmarkStart w:id="127" w:name="_Toc12449"/>
      <w:bookmarkStart w:id="128" w:name="_Toc25137"/>
      <w:bookmarkStart w:id="129" w:name="_Toc392853329"/>
      <w:r>
        <w:rPr>
          <w:rFonts w:hint="eastAsia"/>
        </w:rPr>
        <w:t>“美国复苏与再投资法案”预算内支出</w:t>
      </w:r>
      <w:bookmarkEnd w:id="129"/>
    </w:p>
    <w:p w:rsidR="00CA619C" w:rsidRDefault="00CA619C" w:rsidP="00CA619C">
      <w:pPr>
        <w:ind w:rightChars="225" w:right="473" w:firstLine="480"/>
        <w:jc w:val="right"/>
        <w:rPr>
          <w:rFonts w:hint="eastAsia"/>
        </w:rPr>
      </w:pPr>
      <w:r>
        <w:rPr>
          <w:rFonts w:hint="eastAsia"/>
        </w:rPr>
        <w:t>单位：百万美元</w:t>
      </w:r>
      <w:bookmarkEnd w:id="127"/>
      <w:bookmarkEnd w:id="12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6"/>
        <w:gridCol w:w="1703"/>
        <w:gridCol w:w="1699"/>
        <w:gridCol w:w="2268"/>
      </w:tblGrid>
      <w:tr w:rsidR="00CA619C" w:rsidTr="00CA619C">
        <w:tc>
          <w:tcPr>
            <w:tcW w:w="3226" w:type="dxa"/>
            <w:vAlign w:val="center"/>
          </w:tcPr>
          <w:p w:rsidR="00CA619C" w:rsidRDefault="00CA619C" w:rsidP="00CA619C">
            <w:pPr>
              <w:rPr>
                <w:rFonts w:ascii="宋体" w:hAnsi="宋体" w:hint="eastAsia"/>
                <w:b/>
                <w:bCs/>
              </w:rPr>
            </w:pPr>
            <w:r>
              <w:rPr>
                <w:rFonts w:ascii="宋体" w:hAnsi="宋体" w:hint="eastAsia"/>
                <w:b/>
                <w:bCs/>
              </w:rPr>
              <w:t>部门</w:t>
            </w:r>
          </w:p>
        </w:tc>
        <w:tc>
          <w:tcPr>
            <w:tcW w:w="1703" w:type="dxa"/>
          </w:tcPr>
          <w:p w:rsidR="00CA619C" w:rsidRDefault="00CA619C" w:rsidP="00CA619C">
            <w:pPr>
              <w:jc w:val="center"/>
              <w:rPr>
                <w:rFonts w:ascii="宋体" w:hAnsi="宋体" w:hint="eastAsia"/>
                <w:b/>
                <w:bCs/>
              </w:rPr>
            </w:pPr>
            <w:r>
              <w:rPr>
                <w:rFonts w:ascii="宋体" w:hAnsi="宋体" w:hint="eastAsia"/>
                <w:b/>
                <w:bCs/>
              </w:rPr>
              <w:t>项目</w:t>
            </w:r>
          </w:p>
        </w:tc>
        <w:tc>
          <w:tcPr>
            <w:tcW w:w="1699" w:type="dxa"/>
          </w:tcPr>
          <w:p w:rsidR="00CA619C" w:rsidRDefault="00CA619C" w:rsidP="00CA619C">
            <w:pPr>
              <w:jc w:val="center"/>
              <w:rPr>
                <w:rFonts w:ascii="宋体" w:hAnsi="宋体" w:hint="eastAsia"/>
                <w:b/>
                <w:bCs/>
              </w:rPr>
            </w:pPr>
            <w:r>
              <w:rPr>
                <w:rFonts w:ascii="宋体" w:hAnsi="宋体" w:hint="eastAsia"/>
                <w:b/>
                <w:bCs/>
              </w:rPr>
              <w:t>2009年支出</w:t>
            </w:r>
          </w:p>
        </w:tc>
        <w:tc>
          <w:tcPr>
            <w:tcW w:w="2268" w:type="dxa"/>
          </w:tcPr>
          <w:p w:rsidR="00CA619C" w:rsidRDefault="00CA619C" w:rsidP="00CA619C">
            <w:pPr>
              <w:jc w:val="center"/>
              <w:rPr>
                <w:rFonts w:ascii="宋体" w:hAnsi="宋体" w:hint="eastAsia"/>
                <w:b/>
                <w:bCs/>
              </w:rPr>
            </w:pPr>
            <w:r>
              <w:rPr>
                <w:rFonts w:ascii="宋体" w:hAnsi="宋体" w:hint="eastAsia"/>
                <w:b/>
                <w:bCs/>
              </w:rPr>
              <w:t>2009-2019年支出</w:t>
            </w:r>
          </w:p>
        </w:tc>
      </w:tr>
      <w:tr w:rsidR="00CA619C" w:rsidTr="00CA619C">
        <w:trPr>
          <w:cantSplit/>
        </w:trPr>
        <w:tc>
          <w:tcPr>
            <w:tcW w:w="3226" w:type="dxa"/>
            <w:vMerge w:val="restart"/>
            <w:vAlign w:val="center"/>
          </w:tcPr>
          <w:p w:rsidR="00CA619C" w:rsidRDefault="00CA619C" w:rsidP="00CA619C">
            <w:pPr>
              <w:rPr>
                <w:rFonts w:ascii="宋体" w:hAnsi="宋体" w:hint="eastAsia"/>
              </w:rPr>
            </w:pPr>
            <w:r>
              <w:rPr>
                <w:rFonts w:ascii="宋体" w:hAnsi="宋体" w:hint="eastAsia"/>
              </w:rPr>
              <w:t>农业、农村发展、食品与饮料管理以及相关部门</w:t>
            </w:r>
          </w:p>
        </w:tc>
        <w:tc>
          <w:tcPr>
            <w:tcW w:w="1703" w:type="dxa"/>
          </w:tcPr>
          <w:p w:rsidR="00CA619C" w:rsidRDefault="00CA619C" w:rsidP="00CA619C">
            <w:pPr>
              <w:rPr>
                <w:rFonts w:ascii="宋体" w:hAnsi="宋体" w:hint="eastAsia"/>
              </w:rPr>
            </w:pPr>
            <w:r>
              <w:rPr>
                <w:rFonts w:ascii="宋体" w:hAnsi="宋体" w:hint="eastAsia"/>
              </w:rPr>
              <w:t>预算主管当局</w:t>
            </w:r>
          </w:p>
        </w:tc>
        <w:tc>
          <w:tcPr>
            <w:tcW w:w="1699" w:type="dxa"/>
          </w:tcPr>
          <w:p w:rsidR="00CA619C" w:rsidRDefault="00CA619C" w:rsidP="00CA619C">
            <w:pPr>
              <w:rPr>
                <w:rFonts w:ascii="宋体" w:hAnsi="宋体" w:hint="eastAsia"/>
              </w:rPr>
            </w:pPr>
            <w:r>
              <w:rPr>
                <w:rFonts w:ascii="宋体" w:hAnsi="宋体" w:hint="eastAsia"/>
              </w:rPr>
              <w:t>11，330</w:t>
            </w:r>
          </w:p>
        </w:tc>
        <w:tc>
          <w:tcPr>
            <w:tcW w:w="2268" w:type="dxa"/>
          </w:tcPr>
          <w:p w:rsidR="00CA619C" w:rsidRDefault="00CA619C" w:rsidP="00CA619C">
            <w:pPr>
              <w:rPr>
                <w:rFonts w:ascii="宋体" w:hAnsi="宋体" w:hint="eastAsia"/>
              </w:rPr>
            </w:pPr>
            <w:r>
              <w:rPr>
                <w:rFonts w:ascii="宋体" w:hAnsi="宋体" w:hint="eastAsia"/>
              </w:rPr>
              <w:t>26，466</w:t>
            </w:r>
          </w:p>
        </w:tc>
      </w:tr>
      <w:tr w:rsidR="00CA619C" w:rsidTr="00CA619C">
        <w:trPr>
          <w:cantSplit/>
        </w:trPr>
        <w:tc>
          <w:tcPr>
            <w:tcW w:w="3226" w:type="dxa"/>
            <w:vMerge/>
            <w:vAlign w:val="center"/>
          </w:tcPr>
          <w:p w:rsidR="00CA619C" w:rsidRDefault="00CA619C" w:rsidP="00CA619C">
            <w:pPr>
              <w:rPr>
                <w:rFonts w:ascii="宋体" w:hAnsi="宋体" w:hint="eastAsia"/>
              </w:rPr>
            </w:pPr>
          </w:p>
        </w:tc>
        <w:tc>
          <w:tcPr>
            <w:tcW w:w="1703" w:type="dxa"/>
          </w:tcPr>
          <w:p w:rsidR="00CA619C" w:rsidRDefault="00CA619C" w:rsidP="00CA619C">
            <w:pPr>
              <w:rPr>
                <w:rFonts w:ascii="宋体" w:hAnsi="宋体" w:hint="eastAsia"/>
              </w:rPr>
            </w:pPr>
            <w:r>
              <w:rPr>
                <w:rFonts w:ascii="宋体" w:hAnsi="宋体" w:hint="eastAsia"/>
              </w:rPr>
              <w:t>预计支出</w:t>
            </w:r>
          </w:p>
        </w:tc>
        <w:tc>
          <w:tcPr>
            <w:tcW w:w="1699" w:type="dxa"/>
          </w:tcPr>
          <w:p w:rsidR="00CA619C" w:rsidRDefault="00CA619C" w:rsidP="00CA619C">
            <w:pPr>
              <w:rPr>
                <w:rFonts w:ascii="宋体" w:hAnsi="宋体" w:hint="eastAsia"/>
              </w:rPr>
            </w:pPr>
            <w:r>
              <w:rPr>
                <w:rFonts w:ascii="宋体" w:hAnsi="宋体" w:hint="eastAsia"/>
              </w:rPr>
              <w:t>5，691</w:t>
            </w:r>
          </w:p>
        </w:tc>
        <w:tc>
          <w:tcPr>
            <w:tcW w:w="2268" w:type="dxa"/>
          </w:tcPr>
          <w:p w:rsidR="00CA619C" w:rsidRDefault="00CA619C" w:rsidP="00CA619C">
            <w:pPr>
              <w:rPr>
                <w:rFonts w:ascii="宋体" w:hAnsi="宋体" w:hint="eastAsia"/>
              </w:rPr>
            </w:pPr>
            <w:r>
              <w:rPr>
                <w:rFonts w:ascii="宋体" w:hAnsi="宋体" w:hint="eastAsia"/>
              </w:rPr>
              <w:t>26，431</w:t>
            </w:r>
          </w:p>
        </w:tc>
      </w:tr>
      <w:tr w:rsidR="00CA619C" w:rsidTr="00CA619C">
        <w:trPr>
          <w:cantSplit/>
        </w:trPr>
        <w:tc>
          <w:tcPr>
            <w:tcW w:w="3226" w:type="dxa"/>
            <w:vMerge w:val="restart"/>
            <w:vAlign w:val="center"/>
          </w:tcPr>
          <w:p w:rsidR="00CA619C" w:rsidRDefault="00CA619C" w:rsidP="00CA619C">
            <w:pPr>
              <w:rPr>
                <w:rFonts w:ascii="宋体" w:hAnsi="宋体" w:hint="eastAsia"/>
              </w:rPr>
            </w:pPr>
            <w:r>
              <w:rPr>
                <w:rFonts w:ascii="宋体" w:hAnsi="宋体" w:hint="eastAsia"/>
              </w:rPr>
              <w:t>商务、司法、科学以及相关部门</w:t>
            </w:r>
          </w:p>
        </w:tc>
        <w:tc>
          <w:tcPr>
            <w:tcW w:w="1703" w:type="dxa"/>
          </w:tcPr>
          <w:p w:rsidR="00CA619C" w:rsidRDefault="00CA619C" w:rsidP="00CA619C">
            <w:pPr>
              <w:rPr>
                <w:rFonts w:ascii="宋体" w:hAnsi="宋体" w:hint="eastAsia"/>
              </w:rPr>
            </w:pPr>
            <w:r>
              <w:rPr>
                <w:rFonts w:ascii="宋体" w:hAnsi="宋体" w:hint="eastAsia"/>
              </w:rPr>
              <w:t>预算主管当局</w:t>
            </w:r>
          </w:p>
        </w:tc>
        <w:tc>
          <w:tcPr>
            <w:tcW w:w="1699" w:type="dxa"/>
          </w:tcPr>
          <w:p w:rsidR="00CA619C" w:rsidRDefault="00CA619C" w:rsidP="00CA619C">
            <w:pPr>
              <w:rPr>
                <w:rFonts w:ascii="宋体" w:hAnsi="宋体" w:hint="eastAsia"/>
              </w:rPr>
            </w:pPr>
            <w:r>
              <w:rPr>
                <w:rFonts w:ascii="宋体" w:hAnsi="宋体" w:hint="eastAsia"/>
              </w:rPr>
              <w:t>15，922</w:t>
            </w:r>
          </w:p>
        </w:tc>
        <w:tc>
          <w:tcPr>
            <w:tcW w:w="2268" w:type="dxa"/>
          </w:tcPr>
          <w:p w:rsidR="00CA619C" w:rsidRDefault="00CA619C" w:rsidP="00CA619C">
            <w:pPr>
              <w:rPr>
                <w:rFonts w:ascii="宋体" w:hAnsi="宋体" w:hint="eastAsia"/>
              </w:rPr>
            </w:pPr>
            <w:r>
              <w:rPr>
                <w:rFonts w:ascii="宋体" w:hAnsi="宋体" w:hint="eastAsia"/>
              </w:rPr>
              <w:t>15，922</w:t>
            </w:r>
          </w:p>
        </w:tc>
      </w:tr>
      <w:tr w:rsidR="00CA619C" w:rsidTr="00CA619C">
        <w:trPr>
          <w:cantSplit/>
        </w:trPr>
        <w:tc>
          <w:tcPr>
            <w:tcW w:w="3226" w:type="dxa"/>
            <w:vMerge/>
            <w:vAlign w:val="center"/>
          </w:tcPr>
          <w:p w:rsidR="00CA619C" w:rsidRDefault="00CA619C" w:rsidP="00CA619C">
            <w:pPr>
              <w:rPr>
                <w:rFonts w:ascii="宋体" w:hAnsi="宋体" w:hint="eastAsia"/>
              </w:rPr>
            </w:pPr>
          </w:p>
        </w:tc>
        <w:tc>
          <w:tcPr>
            <w:tcW w:w="1703" w:type="dxa"/>
          </w:tcPr>
          <w:p w:rsidR="00CA619C" w:rsidRDefault="00CA619C" w:rsidP="00CA619C">
            <w:pPr>
              <w:rPr>
                <w:rFonts w:ascii="宋体" w:hAnsi="宋体" w:hint="eastAsia"/>
              </w:rPr>
            </w:pPr>
            <w:r>
              <w:rPr>
                <w:rFonts w:ascii="宋体" w:hAnsi="宋体" w:hint="eastAsia"/>
              </w:rPr>
              <w:t>预计支出</w:t>
            </w:r>
          </w:p>
        </w:tc>
        <w:tc>
          <w:tcPr>
            <w:tcW w:w="1699" w:type="dxa"/>
          </w:tcPr>
          <w:p w:rsidR="00CA619C" w:rsidRDefault="00CA619C" w:rsidP="00CA619C">
            <w:pPr>
              <w:rPr>
                <w:rFonts w:ascii="宋体" w:hAnsi="宋体" w:hint="eastAsia"/>
              </w:rPr>
            </w:pPr>
            <w:r>
              <w:rPr>
                <w:rFonts w:ascii="宋体" w:hAnsi="宋体" w:hint="eastAsia"/>
              </w:rPr>
              <w:t>2，538</w:t>
            </w:r>
          </w:p>
        </w:tc>
        <w:tc>
          <w:tcPr>
            <w:tcW w:w="2268" w:type="dxa"/>
          </w:tcPr>
          <w:p w:rsidR="00CA619C" w:rsidRDefault="00CA619C" w:rsidP="00CA619C">
            <w:pPr>
              <w:rPr>
                <w:rFonts w:ascii="宋体" w:hAnsi="宋体" w:hint="eastAsia"/>
              </w:rPr>
            </w:pPr>
            <w:r>
              <w:rPr>
                <w:rFonts w:ascii="宋体" w:hAnsi="宋体" w:hint="eastAsia"/>
              </w:rPr>
              <w:t>15，810</w:t>
            </w:r>
          </w:p>
        </w:tc>
      </w:tr>
      <w:tr w:rsidR="00CA619C" w:rsidTr="00CA619C">
        <w:trPr>
          <w:cantSplit/>
        </w:trPr>
        <w:tc>
          <w:tcPr>
            <w:tcW w:w="3226" w:type="dxa"/>
            <w:vMerge w:val="restart"/>
            <w:vAlign w:val="center"/>
          </w:tcPr>
          <w:p w:rsidR="00CA619C" w:rsidRDefault="00CA619C" w:rsidP="00CA619C">
            <w:pPr>
              <w:rPr>
                <w:rFonts w:ascii="宋体" w:hAnsi="宋体" w:hint="eastAsia"/>
              </w:rPr>
            </w:pPr>
            <w:r>
              <w:rPr>
                <w:rFonts w:ascii="宋体" w:hAnsi="宋体" w:hint="eastAsia"/>
              </w:rPr>
              <w:t>国防部</w:t>
            </w:r>
          </w:p>
        </w:tc>
        <w:tc>
          <w:tcPr>
            <w:tcW w:w="1703" w:type="dxa"/>
          </w:tcPr>
          <w:p w:rsidR="00CA619C" w:rsidRDefault="00CA619C" w:rsidP="00CA619C">
            <w:pPr>
              <w:rPr>
                <w:rFonts w:ascii="宋体" w:hAnsi="宋体" w:hint="eastAsia"/>
              </w:rPr>
            </w:pPr>
            <w:r>
              <w:rPr>
                <w:rFonts w:ascii="宋体" w:hAnsi="宋体" w:hint="eastAsia"/>
              </w:rPr>
              <w:t>预算主管当局</w:t>
            </w:r>
          </w:p>
        </w:tc>
        <w:tc>
          <w:tcPr>
            <w:tcW w:w="1699" w:type="dxa"/>
          </w:tcPr>
          <w:p w:rsidR="00CA619C" w:rsidRDefault="00CA619C" w:rsidP="00CA619C">
            <w:pPr>
              <w:rPr>
                <w:rFonts w:ascii="宋体" w:hAnsi="宋体" w:hint="eastAsia"/>
              </w:rPr>
            </w:pPr>
            <w:r>
              <w:rPr>
                <w:rFonts w:ascii="宋体" w:hAnsi="宋体" w:hint="eastAsia"/>
              </w:rPr>
              <w:t>4，555</w:t>
            </w:r>
          </w:p>
        </w:tc>
        <w:tc>
          <w:tcPr>
            <w:tcW w:w="2268" w:type="dxa"/>
          </w:tcPr>
          <w:p w:rsidR="00CA619C" w:rsidRDefault="00CA619C" w:rsidP="00CA619C">
            <w:pPr>
              <w:rPr>
                <w:rFonts w:ascii="宋体" w:hAnsi="宋体" w:hint="eastAsia"/>
              </w:rPr>
            </w:pPr>
            <w:r>
              <w:rPr>
                <w:rFonts w:ascii="宋体" w:hAnsi="宋体" w:hint="eastAsia"/>
              </w:rPr>
              <w:t>4，555</w:t>
            </w:r>
          </w:p>
        </w:tc>
      </w:tr>
      <w:tr w:rsidR="00CA619C" w:rsidTr="00CA619C">
        <w:trPr>
          <w:cantSplit/>
        </w:trPr>
        <w:tc>
          <w:tcPr>
            <w:tcW w:w="3226" w:type="dxa"/>
            <w:vMerge/>
            <w:vAlign w:val="center"/>
          </w:tcPr>
          <w:p w:rsidR="00CA619C" w:rsidRDefault="00CA619C" w:rsidP="00CA619C">
            <w:pPr>
              <w:rPr>
                <w:rFonts w:ascii="宋体" w:hAnsi="宋体" w:hint="eastAsia"/>
              </w:rPr>
            </w:pPr>
          </w:p>
        </w:tc>
        <w:tc>
          <w:tcPr>
            <w:tcW w:w="1703" w:type="dxa"/>
          </w:tcPr>
          <w:p w:rsidR="00CA619C" w:rsidRDefault="00CA619C" w:rsidP="00CA619C">
            <w:pPr>
              <w:rPr>
                <w:rFonts w:ascii="宋体" w:hAnsi="宋体" w:hint="eastAsia"/>
              </w:rPr>
            </w:pPr>
            <w:r>
              <w:rPr>
                <w:rFonts w:ascii="宋体" w:hAnsi="宋体" w:hint="eastAsia"/>
              </w:rPr>
              <w:t>预计支出</w:t>
            </w:r>
          </w:p>
        </w:tc>
        <w:tc>
          <w:tcPr>
            <w:tcW w:w="1699" w:type="dxa"/>
          </w:tcPr>
          <w:p w:rsidR="00CA619C" w:rsidRDefault="00CA619C" w:rsidP="00CA619C">
            <w:pPr>
              <w:rPr>
                <w:rFonts w:ascii="宋体" w:hAnsi="宋体" w:hint="eastAsia"/>
              </w:rPr>
            </w:pPr>
            <w:r>
              <w:rPr>
                <w:rFonts w:ascii="宋体" w:hAnsi="宋体" w:hint="eastAsia"/>
              </w:rPr>
              <w:t>1，679</w:t>
            </w:r>
          </w:p>
        </w:tc>
        <w:tc>
          <w:tcPr>
            <w:tcW w:w="2268" w:type="dxa"/>
          </w:tcPr>
          <w:p w:rsidR="00CA619C" w:rsidRDefault="00CA619C" w:rsidP="00CA619C">
            <w:pPr>
              <w:rPr>
                <w:rFonts w:ascii="宋体" w:hAnsi="宋体" w:hint="eastAsia"/>
              </w:rPr>
            </w:pPr>
            <w:r>
              <w:rPr>
                <w:rFonts w:ascii="宋体" w:hAnsi="宋体" w:hint="eastAsia"/>
              </w:rPr>
              <w:t>4.531</w:t>
            </w:r>
          </w:p>
        </w:tc>
      </w:tr>
      <w:tr w:rsidR="00CA619C" w:rsidTr="00CA619C">
        <w:trPr>
          <w:cantSplit/>
        </w:trPr>
        <w:tc>
          <w:tcPr>
            <w:tcW w:w="3226" w:type="dxa"/>
            <w:vMerge w:val="restart"/>
            <w:vAlign w:val="center"/>
          </w:tcPr>
          <w:p w:rsidR="00CA619C" w:rsidRDefault="00CA619C" w:rsidP="00CA619C">
            <w:pPr>
              <w:rPr>
                <w:rFonts w:ascii="宋体" w:hAnsi="宋体" w:hint="eastAsia"/>
              </w:rPr>
            </w:pPr>
            <w:r>
              <w:rPr>
                <w:rFonts w:ascii="宋体" w:hAnsi="宋体" w:hint="eastAsia"/>
              </w:rPr>
              <w:t>能源与水资源发展</w:t>
            </w:r>
          </w:p>
        </w:tc>
        <w:tc>
          <w:tcPr>
            <w:tcW w:w="1703" w:type="dxa"/>
          </w:tcPr>
          <w:p w:rsidR="00CA619C" w:rsidRDefault="00CA619C" w:rsidP="00CA619C">
            <w:pPr>
              <w:rPr>
                <w:rFonts w:ascii="宋体" w:hAnsi="宋体" w:hint="eastAsia"/>
              </w:rPr>
            </w:pPr>
            <w:r>
              <w:rPr>
                <w:rFonts w:ascii="宋体" w:hAnsi="宋体" w:hint="eastAsia"/>
              </w:rPr>
              <w:t>预算主管当局</w:t>
            </w:r>
          </w:p>
        </w:tc>
        <w:tc>
          <w:tcPr>
            <w:tcW w:w="1699" w:type="dxa"/>
          </w:tcPr>
          <w:p w:rsidR="00CA619C" w:rsidRDefault="00CA619C" w:rsidP="00CA619C">
            <w:pPr>
              <w:rPr>
                <w:rFonts w:ascii="宋体" w:hAnsi="宋体" w:hint="eastAsia"/>
              </w:rPr>
            </w:pPr>
            <w:r>
              <w:rPr>
                <w:rFonts w:ascii="宋体" w:hAnsi="宋体" w:hint="eastAsia"/>
              </w:rPr>
              <w:t>44，335</w:t>
            </w:r>
          </w:p>
        </w:tc>
        <w:tc>
          <w:tcPr>
            <w:tcW w:w="2268" w:type="dxa"/>
          </w:tcPr>
          <w:p w:rsidR="00CA619C" w:rsidRDefault="00CA619C" w:rsidP="00CA619C">
            <w:pPr>
              <w:rPr>
                <w:rFonts w:ascii="宋体" w:hAnsi="宋体" w:hint="eastAsia"/>
              </w:rPr>
            </w:pPr>
            <w:r>
              <w:rPr>
                <w:rFonts w:ascii="宋体" w:hAnsi="宋体" w:hint="eastAsia"/>
              </w:rPr>
              <w:t>50，825</w:t>
            </w:r>
          </w:p>
        </w:tc>
      </w:tr>
      <w:tr w:rsidR="00CA619C" w:rsidTr="00CA619C">
        <w:trPr>
          <w:cantSplit/>
        </w:trPr>
        <w:tc>
          <w:tcPr>
            <w:tcW w:w="3226" w:type="dxa"/>
            <w:vMerge/>
            <w:vAlign w:val="center"/>
          </w:tcPr>
          <w:p w:rsidR="00CA619C" w:rsidRDefault="00CA619C" w:rsidP="00CA619C">
            <w:pPr>
              <w:rPr>
                <w:rFonts w:ascii="宋体" w:hAnsi="宋体" w:hint="eastAsia"/>
              </w:rPr>
            </w:pPr>
          </w:p>
        </w:tc>
        <w:tc>
          <w:tcPr>
            <w:tcW w:w="1703" w:type="dxa"/>
          </w:tcPr>
          <w:p w:rsidR="00CA619C" w:rsidRDefault="00CA619C" w:rsidP="00CA619C">
            <w:pPr>
              <w:rPr>
                <w:rFonts w:ascii="宋体" w:hAnsi="宋体" w:hint="eastAsia"/>
              </w:rPr>
            </w:pPr>
            <w:r>
              <w:rPr>
                <w:rFonts w:ascii="宋体" w:hAnsi="宋体" w:hint="eastAsia"/>
              </w:rPr>
              <w:t>预计支出</w:t>
            </w:r>
          </w:p>
        </w:tc>
        <w:tc>
          <w:tcPr>
            <w:tcW w:w="1699" w:type="dxa"/>
          </w:tcPr>
          <w:p w:rsidR="00CA619C" w:rsidRDefault="00CA619C" w:rsidP="00CA619C">
            <w:pPr>
              <w:rPr>
                <w:rFonts w:ascii="宋体" w:hAnsi="宋体" w:hint="eastAsia"/>
              </w:rPr>
            </w:pPr>
            <w:r>
              <w:rPr>
                <w:rFonts w:ascii="宋体" w:hAnsi="宋体" w:hint="eastAsia"/>
              </w:rPr>
              <w:t>3，159</w:t>
            </w:r>
          </w:p>
        </w:tc>
        <w:tc>
          <w:tcPr>
            <w:tcW w:w="2268" w:type="dxa"/>
          </w:tcPr>
          <w:p w:rsidR="00CA619C" w:rsidRDefault="00CA619C" w:rsidP="00CA619C">
            <w:pPr>
              <w:rPr>
                <w:rFonts w:ascii="宋体" w:hAnsi="宋体" w:hint="eastAsia"/>
              </w:rPr>
            </w:pPr>
            <w:r>
              <w:rPr>
                <w:rFonts w:ascii="宋体" w:hAnsi="宋体" w:hint="eastAsia"/>
              </w:rPr>
              <w:t>50，775</w:t>
            </w:r>
          </w:p>
        </w:tc>
      </w:tr>
      <w:tr w:rsidR="00CA619C" w:rsidTr="00CA619C">
        <w:trPr>
          <w:cantSplit/>
        </w:trPr>
        <w:tc>
          <w:tcPr>
            <w:tcW w:w="3226" w:type="dxa"/>
            <w:vMerge w:val="restart"/>
            <w:vAlign w:val="center"/>
          </w:tcPr>
          <w:p w:rsidR="00CA619C" w:rsidRDefault="00CA619C" w:rsidP="00CA619C">
            <w:pPr>
              <w:rPr>
                <w:rFonts w:ascii="宋体" w:hAnsi="宋体" w:hint="eastAsia"/>
              </w:rPr>
            </w:pPr>
            <w:r>
              <w:rPr>
                <w:rFonts w:ascii="宋体" w:hAnsi="宋体" w:hint="eastAsia"/>
              </w:rPr>
              <w:t>金融服务与政府部门</w:t>
            </w:r>
          </w:p>
        </w:tc>
        <w:tc>
          <w:tcPr>
            <w:tcW w:w="1703" w:type="dxa"/>
          </w:tcPr>
          <w:p w:rsidR="00CA619C" w:rsidRDefault="00CA619C" w:rsidP="00CA619C">
            <w:pPr>
              <w:rPr>
                <w:rFonts w:ascii="宋体" w:hAnsi="宋体" w:hint="eastAsia"/>
              </w:rPr>
            </w:pPr>
            <w:r>
              <w:rPr>
                <w:rFonts w:ascii="宋体" w:hAnsi="宋体" w:hint="eastAsia"/>
              </w:rPr>
              <w:t>预算主管当局</w:t>
            </w:r>
          </w:p>
        </w:tc>
        <w:tc>
          <w:tcPr>
            <w:tcW w:w="1699" w:type="dxa"/>
          </w:tcPr>
          <w:p w:rsidR="00CA619C" w:rsidRDefault="00CA619C" w:rsidP="00CA619C">
            <w:pPr>
              <w:rPr>
                <w:rFonts w:ascii="宋体" w:hAnsi="宋体" w:hint="eastAsia"/>
              </w:rPr>
            </w:pPr>
            <w:r>
              <w:rPr>
                <w:rFonts w:ascii="宋体" w:hAnsi="宋体" w:hint="eastAsia"/>
              </w:rPr>
              <w:t>6，858</w:t>
            </w:r>
          </w:p>
        </w:tc>
        <w:tc>
          <w:tcPr>
            <w:tcW w:w="2268" w:type="dxa"/>
          </w:tcPr>
          <w:p w:rsidR="00CA619C" w:rsidRDefault="00CA619C" w:rsidP="00CA619C">
            <w:pPr>
              <w:rPr>
                <w:rFonts w:ascii="宋体" w:hAnsi="宋体" w:hint="eastAsia"/>
              </w:rPr>
            </w:pPr>
            <w:r>
              <w:rPr>
                <w:rFonts w:ascii="宋体" w:hAnsi="宋体" w:hint="eastAsia"/>
              </w:rPr>
              <w:t>6，858</w:t>
            </w:r>
          </w:p>
        </w:tc>
      </w:tr>
      <w:tr w:rsidR="00CA619C" w:rsidTr="00CA619C">
        <w:trPr>
          <w:cantSplit/>
        </w:trPr>
        <w:tc>
          <w:tcPr>
            <w:tcW w:w="3226" w:type="dxa"/>
            <w:vMerge/>
            <w:vAlign w:val="center"/>
          </w:tcPr>
          <w:p w:rsidR="00CA619C" w:rsidRDefault="00CA619C" w:rsidP="00CA619C">
            <w:pPr>
              <w:rPr>
                <w:rFonts w:ascii="宋体" w:hAnsi="宋体" w:hint="eastAsia"/>
              </w:rPr>
            </w:pPr>
          </w:p>
        </w:tc>
        <w:tc>
          <w:tcPr>
            <w:tcW w:w="1703" w:type="dxa"/>
          </w:tcPr>
          <w:p w:rsidR="00CA619C" w:rsidRDefault="00CA619C" w:rsidP="00CA619C">
            <w:pPr>
              <w:rPr>
                <w:rFonts w:ascii="宋体" w:hAnsi="宋体" w:hint="eastAsia"/>
              </w:rPr>
            </w:pPr>
            <w:r>
              <w:rPr>
                <w:rFonts w:ascii="宋体" w:hAnsi="宋体" w:hint="eastAsia"/>
              </w:rPr>
              <w:t>预计支出</w:t>
            </w:r>
          </w:p>
        </w:tc>
        <w:tc>
          <w:tcPr>
            <w:tcW w:w="1699" w:type="dxa"/>
          </w:tcPr>
          <w:p w:rsidR="00CA619C" w:rsidRDefault="00CA619C" w:rsidP="00CA619C">
            <w:pPr>
              <w:rPr>
                <w:rFonts w:ascii="宋体" w:hAnsi="宋体" w:hint="eastAsia"/>
              </w:rPr>
            </w:pPr>
            <w:r>
              <w:rPr>
                <w:rFonts w:ascii="宋体" w:hAnsi="宋体" w:hint="eastAsia"/>
              </w:rPr>
              <w:t>620</w:t>
            </w:r>
          </w:p>
        </w:tc>
        <w:tc>
          <w:tcPr>
            <w:tcW w:w="2268" w:type="dxa"/>
          </w:tcPr>
          <w:p w:rsidR="00CA619C" w:rsidRDefault="00CA619C" w:rsidP="00CA619C">
            <w:pPr>
              <w:rPr>
                <w:rFonts w:ascii="宋体" w:hAnsi="宋体" w:hint="eastAsia"/>
              </w:rPr>
            </w:pPr>
            <w:r>
              <w:rPr>
                <w:rFonts w:ascii="宋体" w:hAnsi="宋体" w:hint="eastAsia"/>
              </w:rPr>
              <w:t>6，707</w:t>
            </w:r>
          </w:p>
        </w:tc>
      </w:tr>
      <w:tr w:rsidR="00CA619C" w:rsidTr="00CA619C">
        <w:trPr>
          <w:cantSplit/>
        </w:trPr>
        <w:tc>
          <w:tcPr>
            <w:tcW w:w="3226" w:type="dxa"/>
            <w:vMerge w:val="restart"/>
            <w:vAlign w:val="center"/>
          </w:tcPr>
          <w:p w:rsidR="00CA619C" w:rsidRDefault="00CA619C" w:rsidP="00CA619C">
            <w:pPr>
              <w:rPr>
                <w:rFonts w:ascii="宋体" w:hAnsi="宋体" w:hint="eastAsia"/>
              </w:rPr>
            </w:pPr>
            <w:r>
              <w:rPr>
                <w:rFonts w:ascii="宋体" w:hAnsi="宋体" w:hint="eastAsia"/>
              </w:rPr>
              <w:t>国土安全部门</w:t>
            </w:r>
          </w:p>
        </w:tc>
        <w:tc>
          <w:tcPr>
            <w:tcW w:w="1703" w:type="dxa"/>
          </w:tcPr>
          <w:p w:rsidR="00CA619C" w:rsidRDefault="00CA619C" w:rsidP="00CA619C">
            <w:pPr>
              <w:rPr>
                <w:rFonts w:ascii="宋体" w:hAnsi="宋体" w:hint="eastAsia"/>
              </w:rPr>
            </w:pPr>
            <w:r>
              <w:rPr>
                <w:rFonts w:ascii="宋体" w:hAnsi="宋体" w:hint="eastAsia"/>
              </w:rPr>
              <w:t>预算主管当局</w:t>
            </w:r>
          </w:p>
        </w:tc>
        <w:tc>
          <w:tcPr>
            <w:tcW w:w="1699" w:type="dxa"/>
          </w:tcPr>
          <w:p w:rsidR="00CA619C" w:rsidRDefault="00CA619C" w:rsidP="00CA619C">
            <w:pPr>
              <w:rPr>
                <w:rFonts w:ascii="宋体" w:hAnsi="宋体" w:hint="eastAsia"/>
              </w:rPr>
            </w:pPr>
            <w:r>
              <w:rPr>
                <w:rFonts w:ascii="宋体" w:hAnsi="宋体" w:hint="eastAsia"/>
              </w:rPr>
              <w:t>2，755</w:t>
            </w:r>
          </w:p>
        </w:tc>
        <w:tc>
          <w:tcPr>
            <w:tcW w:w="2268" w:type="dxa"/>
          </w:tcPr>
          <w:p w:rsidR="00CA619C" w:rsidRDefault="00CA619C" w:rsidP="00CA619C">
            <w:pPr>
              <w:rPr>
                <w:rFonts w:ascii="宋体" w:hAnsi="宋体" w:hint="eastAsia"/>
              </w:rPr>
            </w:pPr>
            <w:r>
              <w:rPr>
                <w:rFonts w:ascii="宋体" w:hAnsi="宋体" w:hint="eastAsia"/>
              </w:rPr>
              <w:t>2，755</w:t>
            </w:r>
          </w:p>
        </w:tc>
      </w:tr>
      <w:tr w:rsidR="00CA619C" w:rsidTr="00CA619C">
        <w:trPr>
          <w:cantSplit/>
        </w:trPr>
        <w:tc>
          <w:tcPr>
            <w:tcW w:w="3226" w:type="dxa"/>
            <w:vMerge/>
            <w:vAlign w:val="center"/>
          </w:tcPr>
          <w:p w:rsidR="00CA619C" w:rsidRDefault="00CA619C" w:rsidP="00CA619C">
            <w:pPr>
              <w:rPr>
                <w:rFonts w:ascii="宋体" w:hAnsi="宋体" w:hint="eastAsia"/>
              </w:rPr>
            </w:pPr>
          </w:p>
        </w:tc>
        <w:tc>
          <w:tcPr>
            <w:tcW w:w="1703" w:type="dxa"/>
          </w:tcPr>
          <w:p w:rsidR="00CA619C" w:rsidRDefault="00CA619C" w:rsidP="00CA619C">
            <w:pPr>
              <w:rPr>
                <w:rFonts w:ascii="宋体" w:hAnsi="宋体" w:hint="eastAsia"/>
              </w:rPr>
            </w:pPr>
            <w:r>
              <w:rPr>
                <w:rFonts w:ascii="宋体" w:hAnsi="宋体" w:hint="eastAsia"/>
              </w:rPr>
              <w:t>预计支出</w:t>
            </w:r>
          </w:p>
        </w:tc>
        <w:tc>
          <w:tcPr>
            <w:tcW w:w="1699" w:type="dxa"/>
          </w:tcPr>
          <w:p w:rsidR="00CA619C" w:rsidRDefault="00CA619C" w:rsidP="00CA619C">
            <w:pPr>
              <w:rPr>
                <w:rFonts w:ascii="宋体" w:hAnsi="宋体" w:hint="eastAsia"/>
              </w:rPr>
            </w:pPr>
            <w:r>
              <w:rPr>
                <w:rFonts w:ascii="宋体" w:hAnsi="宋体" w:hint="eastAsia"/>
              </w:rPr>
              <w:t>506</w:t>
            </w:r>
          </w:p>
        </w:tc>
        <w:tc>
          <w:tcPr>
            <w:tcW w:w="2268" w:type="dxa"/>
          </w:tcPr>
          <w:p w:rsidR="00CA619C" w:rsidRDefault="00CA619C" w:rsidP="00CA619C">
            <w:pPr>
              <w:rPr>
                <w:rFonts w:ascii="宋体" w:hAnsi="宋体" w:hint="eastAsia"/>
              </w:rPr>
            </w:pPr>
            <w:r>
              <w:rPr>
                <w:rFonts w:ascii="宋体" w:hAnsi="宋体" w:hint="eastAsia"/>
              </w:rPr>
              <w:t>2，744</w:t>
            </w:r>
          </w:p>
        </w:tc>
      </w:tr>
      <w:tr w:rsidR="00CA619C" w:rsidTr="00CA619C">
        <w:trPr>
          <w:cantSplit/>
        </w:trPr>
        <w:tc>
          <w:tcPr>
            <w:tcW w:w="3226" w:type="dxa"/>
            <w:vMerge w:val="restart"/>
            <w:vAlign w:val="center"/>
          </w:tcPr>
          <w:p w:rsidR="00CA619C" w:rsidRDefault="00CA619C" w:rsidP="00CA619C">
            <w:pPr>
              <w:rPr>
                <w:rFonts w:ascii="宋体" w:hAnsi="宋体" w:hint="eastAsia"/>
              </w:rPr>
            </w:pPr>
            <w:r>
              <w:rPr>
                <w:rFonts w:ascii="宋体" w:hAnsi="宋体" w:hint="eastAsia"/>
              </w:rPr>
              <w:t>内政、环保与相关部门</w:t>
            </w:r>
          </w:p>
        </w:tc>
        <w:tc>
          <w:tcPr>
            <w:tcW w:w="1703" w:type="dxa"/>
          </w:tcPr>
          <w:p w:rsidR="00CA619C" w:rsidRDefault="00CA619C" w:rsidP="00CA619C">
            <w:pPr>
              <w:rPr>
                <w:rFonts w:ascii="宋体" w:hAnsi="宋体" w:hint="eastAsia"/>
              </w:rPr>
            </w:pPr>
            <w:r>
              <w:rPr>
                <w:rFonts w:ascii="宋体" w:hAnsi="宋体" w:hint="eastAsia"/>
              </w:rPr>
              <w:t>预算主管当局</w:t>
            </w:r>
          </w:p>
        </w:tc>
        <w:tc>
          <w:tcPr>
            <w:tcW w:w="1699" w:type="dxa"/>
          </w:tcPr>
          <w:p w:rsidR="00CA619C" w:rsidRDefault="00CA619C" w:rsidP="00CA619C">
            <w:pPr>
              <w:rPr>
                <w:rFonts w:ascii="宋体" w:hAnsi="宋体" w:hint="eastAsia"/>
              </w:rPr>
            </w:pPr>
            <w:r>
              <w:rPr>
                <w:rFonts w:ascii="宋体" w:hAnsi="宋体" w:hint="eastAsia"/>
              </w:rPr>
              <w:t>10，950</w:t>
            </w:r>
          </w:p>
        </w:tc>
        <w:tc>
          <w:tcPr>
            <w:tcW w:w="2268" w:type="dxa"/>
          </w:tcPr>
          <w:p w:rsidR="00CA619C" w:rsidRDefault="00CA619C" w:rsidP="00CA619C">
            <w:pPr>
              <w:rPr>
                <w:rFonts w:ascii="宋体" w:hAnsi="宋体" w:hint="eastAsia"/>
              </w:rPr>
            </w:pPr>
            <w:r>
              <w:rPr>
                <w:rFonts w:ascii="宋体" w:hAnsi="宋体" w:hint="eastAsia"/>
              </w:rPr>
              <w:t>10，950</w:t>
            </w:r>
          </w:p>
        </w:tc>
      </w:tr>
      <w:tr w:rsidR="00CA619C" w:rsidTr="00CA619C">
        <w:trPr>
          <w:cantSplit/>
        </w:trPr>
        <w:tc>
          <w:tcPr>
            <w:tcW w:w="3226" w:type="dxa"/>
            <w:vMerge/>
            <w:vAlign w:val="center"/>
          </w:tcPr>
          <w:p w:rsidR="00CA619C" w:rsidRDefault="00CA619C" w:rsidP="00CA619C">
            <w:pPr>
              <w:rPr>
                <w:rFonts w:ascii="宋体" w:hAnsi="宋体" w:hint="eastAsia"/>
              </w:rPr>
            </w:pPr>
          </w:p>
        </w:tc>
        <w:tc>
          <w:tcPr>
            <w:tcW w:w="1703" w:type="dxa"/>
          </w:tcPr>
          <w:p w:rsidR="00CA619C" w:rsidRDefault="00CA619C" w:rsidP="00CA619C">
            <w:pPr>
              <w:rPr>
                <w:rFonts w:ascii="宋体" w:hAnsi="宋体" w:hint="eastAsia"/>
              </w:rPr>
            </w:pPr>
            <w:r>
              <w:rPr>
                <w:rFonts w:ascii="宋体" w:hAnsi="宋体" w:hint="eastAsia"/>
              </w:rPr>
              <w:t>预计支出</w:t>
            </w:r>
          </w:p>
        </w:tc>
        <w:tc>
          <w:tcPr>
            <w:tcW w:w="1699" w:type="dxa"/>
          </w:tcPr>
          <w:p w:rsidR="00CA619C" w:rsidRDefault="00CA619C" w:rsidP="00CA619C">
            <w:pPr>
              <w:rPr>
                <w:rFonts w:ascii="宋体" w:hAnsi="宋体" w:hint="eastAsia"/>
              </w:rPr>
            </w:pPr>
            <w:r>
              <w:rPr>
                <w:rFonts w:ascii="宋体" w:hAnsi="宋体" w:hint="eastAsia"/>
              </w:rPr>
              <w:t>1，158</w:t>
            </w:r>
          </w:p>
        </w:tc>
        <w:tc>
          <w:tcPr>
            <w:tcW w:w="2268" w:type="dxa"/>
          </w:tcPr>
          <w:p w:rsidR="00CA619C" w:rsidRDefault="00CA619C" w:rsidP="00CA619C">
            <w:pPr>
              <w:rPr>
                <w:rFonts w:ascii="宋体" w:hAnsi="宋体" w:hint="eastAsia"/>
              </w:rPr>
            </w:pPr>
            <w:r>
              <w:rPr>
                <w:rFonts w:ascii="宋体" w:hAnsi="宋体" w:hint="eastAsia"/>
              </w:rPr>
              <w:t>10，454</w:t>
            </w:r>
          </w:p>
        </w:tc>
      </w:tr>
      <w:tr w:rsidR="00CA619C" w:rsidTr="00CA619C">
        <w:trPr>
          <w:cantSplit/>
        </w:trPr>
        <w:tc>
          <w:tcPr>
            <w:tcW w:w="3226" w:type="dxa"/>
            <w:vMerge w:val="restart"/>
            <w:vAlign w:val="center"/>
          </w:tcPr>
          <w:p w:rsidR="00CA619C" w:rsidRDefault="00CA619C" w:rsidP="00CA619C">
            <w:pPr>
              <w:rPr>
                <w:rFonts w:ascii="宋体" w:hAnsi="宋体" w:hint="eastAsia"/>
              </w:rPr>
            </w:pPr>
            <w:r>
              <w:rPr>
                <w:rFonts w:ascii="宋体" w:hAnsi="宋体" w:hint="eastAsia"/>
              </w:rPr>
              <w:t>劳动、健康和人权服务、教育及相关部门</w:t>
            </w:r>
          </w:p>
        </w:tc>
        <w:tc>
          <w:tcPr>
            <w:tcW w:w="1703" w:type="dxa"/>
          </w:tcPr>
          <w:p w:rsidR="00CA619C" w:rsidRDefault="00CA619C" w:rsidP="00CA619C">
            <w:pPr>
              <w:rPr>
                <w:rFonts w:ascii="宋体" w:hAnsi="宋体" w:hint="eastAsia"/>
              </w:rPr>
            </w:pPr>
            <w:r>
              <w:rPr>
                <w:rFonts w:ascii="宋体" w:hAnsi="宋体" w:hint="eastAsia"/>
              </w:rPr>
              <w:t>预算主管当局</w:t>
            </w:r>
          </w:p>
        </w:tc>
        <w:tc>
          <w:tcPr>
            <w:tcW w:w="1699" w:type="dxa"/>
          </w:tcPr>
          <w:p w:rsidR="00CA619C" w:rsidRDefault="00CA619C" w:rsidP="00CA619C">
            <w:pPr>
              <w:rPr>
                <w:rFonts w:ascii="宋体" w:hAnsi="宋体" w:hint="eastAsia"/>
              </w:rPr>
            </w:pPr>
            <w:r>
              <w:rPr>
                <w:rFonts w:ascii="宋体" w:hAnsi="宋体" w:hint="eastAsia"/>
              </w:rPr>
              <w:t>71，733</w:t>
            </w:r>
          </w:p>
        </w:tc>
        <w:tc>
          <w:tcPr>
            <w:tcW w:w="2268" w:type="dxa"/>
          </w:tcPr>
          <w:p w:rsidR="00CA619C" w:rsidRDefault="00CA619C" w:rsidP="00CA619C">
            <w:pPr>
              <w:rPr>
                <w:rFonts w:ascii="宋体" w:hAnsi="宋体" w:hint="eastAsia"/>
              </w:rPr>
            </w:pPr>
            <w:r>
              <w:rPr>
                <w:rFonts w:ascii="宋体" w:hAnsi="宋体" w:hint="eastAsia"/>
              </w:rPr>
              <w:t>72，564</w:t>
            </w:r>
          </w:p>
        </w:tc>
      </w:tr>
      <w:tr w:rsidR="00CA619C" w:rsidTr="00CA619C">
        <w:trPr>
          <w:cantSplit/>
        </w:trPr>
        <w:tc>
          <w:tcPr>
            <w:tcW w:w="3226" w:type="dxa"/>
            <w:vMerge/>
            <w:vAlign w:val="center"/>
          </w:tcPr>
          <w:p w:rsidR="00CA619C" w:rsidRDefault="00CA619C" w:rsidP="00CA619C">
            <w:pPr>
              <w:rPr>
                <w:rFonts w:ascii="宋体" w:hAnsi="宋体" w:hint="eastAsia"/>
              </w:rPr>
            </w:pPr>
          </w:p>
        </w:tc>
        <w:tc>
          <w:tcPr>
            <w:tcW w:w="1703" w:type="dxa"/>
          </w:tcPr>
          <w:p w:rsidR="00CA619C" w:rsidRDefault="00CA619C" w:rsidP="00CA619C">
            <w:pPr>
              <w:rPr>
                <w:rFonts w:ascii="宋体" w:hAnsi="宋体" w:hint="eastAsia"/>
              </w:rPr>
            </w:pPr>
            <w:r>
              <w:rPr>
                <w:rFonts w:ascii="宋体" w:hAnsi="宋体" w:hint="eastAsia"/>
              </w:rPr>
              <w:t>预计支出</w:t>
            </w:r>
          </w:p>
        </w:tc>
        <w:tc>
          <w:tcPr>
            <w:tcW w:w="1699" w:type="dxa"/>
          </w:tcPr>
          <w:p w:rsidR="00CA619C" w:rsidRDefault="00CA619C" w:rsidP="00CA619C">
            <w:pPr>
              <w:rPr>
                <w:rFonts w:ascii="宋体" w:hAnsi="宋体" w:hint="eastAsia"/>
              </w:rPr>
            </w:pPr>
            <w:r>
              <w:rPr>
                <w:rFonts w:ascii="宋体" w:hAnsi="宋体" w:hint="eastAsia"/>
              </w:rPr>
              <w:t>6，831</w:t>
            </w:r>
          </w:p>
        </w:tc>
        <w:tc>
          <w:tcPr>
            <w:tcW w:w="2268" w:type="dxa"/>
          </w:tcPr>
          <w:p w:rsidR="00CA619C" w:rsidRDefault="00CA619C" w:rsidP="00CA619C">
            <w:pPr>
              <w:rPr>
                <w:rFonts w:ascii="宋体" w:hAnsi="宋体" w:hint="eastAsia"/>
              </w:rPr>
            </w:pPr>
            <w:r>
              <w:rPr>
                <w:rFonts w:ascii="宋体" w:hAnsi="宋体" w:hint="eastAsia"/>
              </w:rPr>
              <w:t>71，271</w:t>
            </w:r>
          </w:p>
        </w:tc>
      </w:tr>
      <w:tr w:rsidR="00CA619C" w:rsidTr="00CA619C">
        <w:trPr>
          <w:cantSplit/>
        </w:trPr>
        <w:tc>
          <w:tcPr>
            <w:tcW w:w="3226" w:type="dxa"/>
            <w:vMerge w:val="restart"/>
            <w:vAlign w:val="center"/>
          </w:tcPr>
          <w:p w:rsidR="00CA619C" w:rsidRDefault="00CA619C" w:rsidP="00CA619C">
            <w:pPr>
              <w:rPr>
                <w:rFonts w:ascii="宋体" w:hAnsi="宋体" w:hint="eastAsia"/>
              </w:rPr>
            </w:pPr>
            <w:r>
              <w:rPr>
                <w:rFonts w:ascii="宋体" w:hAnsi="宋体" w:hint="eastAsia"/>
              </w:rPr>
              <w:t>立法分支</w:t>
            </w:r>
          </w:p>
        </w:tc>
        <w:tc>
          <w:tcPr>
            <w:tcW w:w="1703" w:type="dxa"/>
          </w:tcPr>
          <w:p w:rsidR="00CA619C" w:rsidRDefault="00CA619C" w:rsidP="00CA619C">
            <w:pPr>
              <w:rPr>
                <w:rFonts w:ascii="宋体" w:hAnsi="宋体" w:hint="eastAsia"/>
              </w:rPr>
            </w:pPr>
            <w:r>
              <w:rPr>
                <w:rFonts w:ascii="宋体" w:hAnsi="宋体" w:hint="eastAsia"/>
              </w:rPr>
              <w:t>预算主管当局</w:t>
            </w:r>
          </w:p>
        </w:tc>
        <w:tc>
          <w:tcPr>
            <w:tcW w:w="1699" w:type="dxa"/>
          </w:tcPr>
          <w:p w:rsidR="00CA619C" w:rsidRDefault="00CA619C" w:rsidP="00CA619C">
            <w:pPr>
              <w:rPr>
                <w:rFonts w:ascii="宋体" w:hAnsi="宋体" w:hint="eastAsia"/>
              </w:rPr>
            </w:pPr>
            <w:r>
              <w:rPr>
                <w:rFonts w:ascii="宋体" w:hAnsi="宋体" w:hint="eastAsia"/>
              </w:rPr>
              <w:t>25</w:t>
            </w:r>
          </w:p>
        </w:tc>
        <w:tc>
          <w:tcPr>
            <w:tcW w:w="2268" w:type="dxa"/>
          </w:tcPr>
          <w:p w:rsidR="00CA619C" w:rsidRDefault="00CA619C" w:rsidP="00CA619C">
            <w:pPr>
              <w:rPr>
                <w:rFonts w:ascii="宋体" w:hAnsi="宋体" w:hint="eastAsia"/>
              </w:rPr>
            </w:pPr>
            <w:r>
              <w:rPr>
                <w:rFonts w:ascii="宋体" w:hAnsi="宋体" w:hint="eastAsia"/>
              </w:rPr>
              <w:t>25</w:t>
            </w:r>
          </w:p>
        </w:tc>
      </w:tr>
      <w:tr w:rsidR="00CA619C" w:rsidTr="00CA619C">
        <w:trPr>
          <w:cantSplit/>
        </w:trPr>
        <w:tc>
          <w:tcPr>
            <w:tcW w:w="3226" w:type="dxa"/>
            <w:vMerge/>
            <w:vAlign w:val="center"/>
          </w:tcPr>
          <w:p w:rsidR="00CA619C" w:rsidRDefault="00CA619C" w:rsidP="00CA619C">
            <w:pPr>
              <w:rPr>
                <w:rFonts w:ascii="宋体" w:hAnsi="宋体" w:hint="eastAsia"/>
              </w:rPr>
            </w:pPr>
          </w:p>
        </w:tc>
        <w:tc>
          <w:tcPr>
            <w:tcW w:w="1703" w:type="dxa"/>
          </w:tcPr>
          <w:p w:rsidR="00CA619C" w:rsidRDefault="00CA619C" w:rsidP="00CA619C">
            <w:pPr>
              <w:rPr>
                <w:rFonts w:ascii="宋体" w:hAnsi="宋体" w:hint="eastAsia"/>
              </w:rPr>
            </w:pPr>
            <w:r>
              <w:rPr>
                <w:rFonts w:ascii="宋体" w:hAnsi="宋体" w:hint="eastAsia"/>
              </w:rPr>
              <w:t>预计支出</w:t>
            </w:r>
          </w:p>
        </w:tc>
        <w:tc>
          <w:tcPr>
            <w:tcW w:w="1699" w:type="dxa"/>
          </w:tcPr>
          <w:p w:rsidR="00CA619C" w:rsidRDefault="00CA619C" w:rsidP="00CA619C">
            <w:pPr>
              <w:rPr>
                <w:rFonts w:ascii="宋体" w:hAnsi="宋体" w:hint="eastAsia"/>
              </w:rPr>
            </w:pPr>
            <w:r>
              <w:rPr>
                <w:rFonts w:ascii="宋体" w:hAnsi="宋体" w:hint="eastAsia"/>
              </w:rPr>
              <w:t>8</w:t>
            </w:r>
          </w:p>
        </w:tc>
        <w:tc>
          <w:tcPr>
            <w:tcW w:w="2268" w:type="dxa"/>
          </w:tcPr>
          <w:p w:rsidR="00CA619C" w:rsidRDefault="00CA619C" w:rsidP="00CA619C">
            <w:pPr>
              <w:rPr>
                <w:rFonts w:ascii="宋体" w:hAnsi="宋体" w:hint="eastAsia"/>
              </w:rPr>
            </w:pPr>
            <w:r>
              <w:rPr>
                <w:rFonts w:ascii="宋体" w:hAnsi="宋体" w:hint="eastAsia"/>
              </w:rPr>
              <w:t>8</w:t>
            </w:r>
          </w:p>
        </w:tc>
      </w:tr>
      <w:tr w:rsidR="00CA619C" w:rsidTr="00CA619C">
        <w:trPr>
          <w:cantSplit/>
        </w:trPr>
        <w:tc>
          <w:tcPr>
            <w:tcW w:w="3226" w:type="dxa"/>
            <w:vMerge w:val="restart"/>
            <w:vAlign w:val="center"/>
          </w:tcPr>
          <w:p w:rsidR="00CA619C" w:rsidRDefault="00CA619C" w:rsidP="00CA619C">
            <w:pPr>
              <w:rPr>
                <w:rFonts w:ascii="宋体" w:hAnsi="宋体" w:hint="eastAsia"/>
              </w:rPr>
            </w:pPr>
            <w:r>
              <w:rPr>
                <w:rFonts w:ascii="宋体" w:hAnsi="宋体" w:hint="eastAsia"/>
              </w:rPr>
              <w:t>军队建设和退伍军人事务以及相关机构</w:t>
            </w:r>
          </w:p>
        </w:tc>
        <w:tc>
          <w:tcPr>
            <w:tcW w:w="1703" w:type="dxa"/>
          </w:tcPr>
          <w:p w:rsidR="00CA619C" w:rsidRDefault="00CA619C" w:rsidP="00CA619C">
            <w:pPr>
              <w:rPr>
                <w:rFonts w:ascii="宋体" w:hAnsi="宋体" w:hint="eastAsia"/>
              </w:rPr>
            </w:pPr>
            <w:r>
              <w:rPr>
                <w:rFonts w:ascii="宋体" w:hAnsi="宋体" w:hint="eastAsia"/>
              </w:rPr>
              <w:t>预算主管当局</w:t>
            </w:r>
          </w:p>
        </w:tc>
        <w:tc>
          <w:tcPr>
            <w:tcW w:w="1699" w:type="dxa"/>
          </w:tcPr>
          <w:p w:rsidR="00CA619C" w:rsidRDefault="00CA619C" w:rsidP="00CA619C">
            <w:pPr>
              <w:rPr>
                <w:rFonts w:ascii="宋体" w:hAnsi="宋体" w:hint="eastAsia"/>
              </w:rPr>
            </w:pPr>
            <w:r>
              <w:rPr>
                <w:rFonts w:ascii="宋体" w:hAnsi="宋体" w:hint="eastAsia"/>
              </w:rPr>
              <w:t>4，281</w:t>
            </w:r>
          </w:p>
        </w:tc>
        <w:tc>
          <w:tcPr>
            <w:tcW w:w="2268" w:type="dxa"/>
          </w:tcPr>
          <w:p w:rsidR="00CA619C" w:rsidRDefault="00CA619C" w:rsidP="00CA619C">
            <w:pPr>
              <w:rPr>
                <w:rFonts w:ascii="宋体" w:hAnsi="宋体" w:hint="eastAsia"/>
              </w:rPr>
            </w:pPr>
            <w:r>
              <w:rPr>
                <w:rFonts w:ascii="宋体" w:hAnsi="宋体" w:hint="eastAsia"/>
              </w:rPr>
              <w:t>4，281</w:t>
            </w:r>
          </w:p>
        </w:tc>
      </w:tr>
      <w:tr w:rsidR="00CA619C" w:rsidTr="00CA619C">
        <w:trPr>
          <w:cantSplit/>
        </w:trPr>
        <w:tc>
          <w:tcPr>
            <w:tcW w:w="3226" w:type="dxa"/>
            <w:vMerge/>
            <w:vAlign w:val="center"/>
          </w:tcPr>
          <w:p w:rsidR="00CA619C" w:rsidRDefault="00CA619C" w:rsidP="00CA619C">
            <w:pPr>
              <w:rPr>
                <w:rFonts w:ascii="宋体" w:hAnsi="宋体" w:hint="eastAsia"/>
              </w:rPr>
            </w:pPr>
          </w:p>
        </w:tc>
        <w:tc>
          <w:tcPr>
            <w:tcW w:w="1703" w:type="dxa"/>
          </w:tcPr>
          <w:p w:rsidR="00CA619C" w:rsidRDefault="00CA619C" w:rsidP="00CA619C">
            <w:pPr>
              <w:rPr>
                <w:rFonts w:ascii="宋体" w:hAnsi="宋体" w:hint="eastAsia"/>
              </w:rPr>
            </w:pPr>
            <w:r>
              <w:rPr>
                <w:rFonts w:ascii="宋体" w:hAnsi="宋体" w:hint="eastAsia"/>
              </w:rPr>
              <w:t>预计支出</w:t>
            </w:r>
          </w:p>
        </w:tc>
        <w:tc>
          <w:tcPr>
            <w:tcW w:w="1699" w:type="dxa"/>
          </w:tcPr>
          <w:p w:rsidR="00CA619C" w:rsidRDefault="00CA619C" w:rsidP="00CA619C">
            <w:pPr>
              <w:rPr>
                <w:rFonts w:ascii="宋体" w:hAnsi="宋体" w:hint="eastAsia"/>
              </w:rPr>
            </w:pPr>
            <w:r>
              <w:rPr>
                <w:rFonts w:ascii="宋体" w:hAnsi="宋体" w:hint="eastAsia"/>
              </w:rPr>
              <w:t>448</w:t>
            </w:r>
          </w:p>
        </w:tc>
        <w:tc>
          <w:tcPr>
            <w:tcW w:w="2268" w:type="dxa"/>
          </w:tcPr>
          <w:p w:rsidR="00CA619C" w:rsidRDefault="00CA619C" w:rsidP="00CA619C">
            <w:pPr>
              <w:rPr>
                <w:rFonts w:ascii="宋体" w:hAnsi="宋体" w:hint="eastAsia"/>
              </w:rPr>
            </w:pPr>
            <w:r>
              <w:rPr>
                <w:rFonts w:ascii="宋体" w:hAnsi="宋体" w:hint="eastAsia"/>
              </w:rPr>
              <w:t>4，246</w:t>
            </w:r>
          </w:p>
        </w:tc>
      </w:tr>
      <w:tr w:rsidR="00CA619C" w:rsidTr="00CA619C">
        <w:trPr>
          <w:cantSplit/>
        </w:trPr>
        <w:tc>
          <w:tcPr>
            <w:tcW w:w="3226" w:type="dxa"/>
            <w:vMerge w:val="restart"/>
            <w:vAlign w:val="center"/>
          </w:tcPr>
          <w:p w:rsidR="00CA619C" w:rsidRDefault="00CA619C" w:rsidP="00CA619C">
            <w:pPr>
              <w:rPr>
                <w:rFonts w:ascii="宋体" w:hAnsi="宋体" w:hint="eastAsia"/>
              </w:rPr>
            </w:pPr>
            <w:r>
              <w:rPr>
                <w:rFonts w:ascii="宋体" w:hAnsi="宋体" w:hint="eastAsia"/>
              </w:rPr>
              <w:t>交通运输和房屋以及城市发展</w:t>
            </w:r>
          </w:p>
        </w:tc>
        <w:tc>
          <w:tcPr>
            <w:tcW w:w="1703" w:type="dxa"/>
          </w:tcPr>
          <w:p w:rsidR="00CA619C" w:rsidRDefault="00CA619C" w:rsidP="00CA619C">
            <w:pPr>
              <w:rPr>
                <w:rFonts w:ascii="宋体" w:hAnsi="宋体" w:hint="eastAsia"/>
              </w:rPr>
            </w:pPr>
            <w:r>
              <w:rPr>
                <w:rFonts w:ascii="宋体" w:hAnsi="宋体" w:hint="eastAsia"/>
              </w:rPr>
              <w:t>预算主管当局</w:t>
            </w:r>
          </w:p>
        </w:tc>
        <w:tc>
          <w:tcPr>
            <w:tcW w:w="1699" w:type="dxa"/>
          </w:tcPr>
          <w:p w:rsidR="00CA619C" w:rsidRDefault="00CA619C" w:rsidP="00CA619C">
            <w:pPr>
              <w:rPr>
                <w:rFonts w:ascii="宋体" w:hAnsi="宋体" w:hint="eastAsia"/>
              </w:rPr>
            </w:pPr>
            <w:r>
              <w:rPr>
                <w:rFonts w:ascii="宋体" w:hAnsi="宋体" w:hint="eastAsia"/>
              </w:rPr>
              <w:t>61，782</w:t>
            </w:r>
          </w:p>
        </w:tc>
        <w:tc>
          <w:tcPr>
            <w:tcW w:w="2268" w:type="dxa"/>
          </w:tcPr>
          <w:p w:rsidR="00CA619C" w:rsidRDefault="00CA619C" w:rsidP="00CA619C">
            <w:pPr>
              <w:rPr>
                <w:rFonts w:ascii="宋体" w:hAnsi="宋体" w:hint="eastAsia"/>
              </w:rPr>
            </w:pPr>
            <w:r>
              <w:rPr>
                <w:rFonts w:ascii="宋体" w:hAnsi="宋体" w:hint="eastAsia"/>
              </w:rPr>
              <w:t>61，795</w:t>
            </w:r>
          </w:p>
        </w:tc>
      </w:tr>
      <w:tr w:rsidR="00CA619C" w:rsidTr="00CA619C">
        <w:trPr>
          <w:cantSplit/>
        </w:trPr>
        <w:tc>
          <w:tcPr>
            <w:tcW w:w="3226" w:type="dxa"/>
            <w:vMerge/>
            <w:vAlign w:val="center"/>
          </w:tcPr>
          <w:p w:rsidR="00CA619C" w:rsidRDefault="00CA619C" w:rsidP="00CA619C">
            <w:pPr>
              <w:rPr>
                <w:rFonts w:ascii="宋体" w:hAnsi="宋体" w:hint="eastAsia"/>
              </w:rPr>
            </w:pPr>
          </w:p>
        </w:tc>
        <w:tc>
          <w:tcPr>
            <w:tcW w:w="1703" w:type="dxa"/>
          </w:tcPr>
          <w:p w:rsidR="00CA619C" w:rsidRDefault="00CA619C" w:rsidP="00CA619C">
            <w:pPr>
              <w:rPr>
                <w:rFonts w:ascii="宋体" w:hAnsi="宋体" w:hint="eastAsia"/>
              </w:rPr>
            </w:pPr>
            <w:r>
              <w:rPr>
                <w:rFonts w:ascii="宋体" w:hAnsi="宋体" w:hint="eastAsia"/>
              </w:rPr>
              <w:t>预计支出</w:t>
            </w:r>
          </w:p>
        </w:tc>
        <w:tc>
          <w:tcPr>
            <w:tcW w:w="1699" w:type="dxa"/>
          </w:tcPr>
          <w:p w:rsidR="00CA619C" w:rsidRDefault="00CA619C" w:rsidP="00CA619C">
            <w:pPr>
              <w:rPr>
                <w:rFonts w:ascii="宋体" w:hAnsi="宋体" w:hint="eastAsia"/>
              </w:rPr>
            </w:pPr>
            <w:r>
              <w:rPr>
                <w:rFonts w:ascii="宋体" w:hAnsi="宋体" w:hint="eastAsia"/>
              </w:rPr>
              <w:t>5，508</w:t>
            </w:r>
          </w:p>
        </w:tc>
        <w:tc>
          <w:tcPr>
            <w:tcW w:w="2268" w:type="dxa"/>
          </w:tcPr>
          <w:p w:rsidR="00CA619C" w:rsidRDefault="00CA619C" w:rsidP="00CA619C">
            <w:pPr>
              <w:rPr>
                <w:rFonts w:ascii="宋体" w:hAnsi="宋体" w:hint="eastAsia"/>
              </w:rPr>
            </w:pPr>
            <w:r>
              <w:rPr>
                <w:rFonts w:ascii="宋体" w:hAnsi="宋体" w:hint="eastAsia"/>
              </w:rPr>
              <w:t>61，051</w:t>
            </w:r>
          </w:p>
        </w:tc>
      </w:tr>
      <w:tr w:rsidR="00CA619C" w:rsidTr="00CA619C">
        <w:trPr>
          <w:cantSplit/>
        </w:trPr>
        <w:tc>
          <w:tcPr>
            <w:tcW w:w="3226" w:type="dxa"/>
            <w:vMerge w:val="restart"/>
            <w:vAlign w:val="center"/>
          </w:tcPr>
          <w:p w:rsidR="00CA619C" w:rsidRDefault="00CA619C" w:rsidP="00CA619C">
            <w:pPr>
              <w:rPr>
                <w:rFonts w:ascii="宋体" w:hAnsi="宋体" w:hint="eastAsia"/>
              </w:rPr>
            </w:pPr>
            <w:r>
              <w:rPr>
                <w:rFonts w:ascii="宋体" w:hAnsi="宋体" w:hint="eastAsia"/>
              </w:rPr>
              <w:t>政府金融稳定计划</w:t>
            </w:r>
          </w:p>
        </w:tc>
        <w:tc>
          <w:tcPr>
            <w:tcW w:w="1703" w:type="dxa"/>
          </w:tcPr>
          <w:p w:rsidR="00CA619C" w:rsidRDefault="00CA619C" w:rsidP="00CA619C">
            <w:pPr>
              <w:rPr>
                <w:rFonts w:ascii="宋体" w:hAnsi="宋体" w:hint="eastAsia"/>
              </w:rPr>
            </w:pPr>
            <w:r>
              <w:rPr>
                <w:rFonts w:ascii="宋体" w:hAnsi="宋体" w:hint="eastAsia"/>
              </w:rPr>
              <w:t>预算主管当局</w:t>
            </w:r>
          </w:p>
        </w:tc>
        <w:tc>
          <w:tcPr>
            <w:tcW w:w="1699" w:type="dxa"/>
          </w:tcPr>
          <w:p w:rsidR="00CA619C" w:rsidRDefault="00CA619C" w:rsidP="00CA619C">
            <w:pPr>
              <w:rPr>
                <w:rFonts w:ascii="宋体" w:hAnsi="宋体" w:hint="eastAsia"/>
              </w:rPr>
            </w:pPr>
            <w:r>
              <w:rPr>
                <w:rFonts w:ascii="宋体" w:hAnsi="宋体" w:hint="eastAsia"/>
              </w:rPr>
              <w:t>53，600</w:t>
            </w:r>
          </w:p>
        </w:tc>
        <w:tc>
          <w:tcPr>
            <w:tcW w:w="2268" w:type="dxa"/>
          </w:tcPr>
          <w:p w:rsidR="00CA619C" w:rsidRDefault="00CA619C" w:rsidP="00CA619C">
            <w:pPr>
              <w:rPr>
                <w:rFonts w:ascii="宋体" w:hAnsi="宋体" w:hint="eastAsia"/>
              </w:rPr>
            </w:pPr>
            <w:r>
              <w:rPr>
                <w:rFonts w:ascii="宋体" w:hAnsi="宋体" w:hint="eastAsia"/>
              </w:rPr>
              <w:t>53，600</w:t>
            </w:r>
          </w:p>
        </w:tc>
      </w:tr>
      <w:tr w:rsidR="00CA619C" w:rsidTr="00CA619C">
        <w:trPr>
          <w:cantSplit/>
        </w:trPr>
        <w:tc>
          <w:tcPr>
            <w:tcW w:w="3226" w:type="dxa"/>
            <w:vMerge/>
            <w:vAlign w:val="center"/>
          </w:tcPr>
          <w:p w:rsidR="00CA619C" w:rsidRDefault="00CA619C" w:rsidP="00CA619C">
            <w:pPr>
              <w:rPr>
                <w:rFonts w:ascii="宋体" w:hAnsi="宋体" w:hint="eastAsia"/>
              </w:rPr>
            </w:pPr>
          </w:p>
        </w:tc>
        <w:tc>
          <w:tcPr>
            <w:tcW w:w="1703" w:type="dxa"/>
          </w:tcPr>
          <w:p w:rsidR="00CA619C" w:rsidRDefault="00CA619C" w:rsidP="00CA619C">
            <w:pPr>
              <w:rPr>
                <w:rFonts w:ascii="宋体" w:hAnsi="宋体" w:hint="eastAsia"/>
              </w:rPr>
            </w:pPr>
            <w:r>
              <w:rPr>
                <w:rFonts w:ascii="宋体" w:hAnsi="宋体" w:hint="eastAsia"/>
              </w:rPr>
              <w:t>预计支出</w:t>
            </w:r>
          </w:p>
        </w:tc>
        <w:tc>
          <w:tcPr>
            <w:tcW w:w="1699" w:type="dxa"/>
          </w:tcPr>
          <w:p w:rsidR="00CA619C" w:rsidRDefault="00CA619C" w:rsidP="00CA619C">
            <w:pPr>
              <w:rPr>
                <w:rFonts w:ascii="宋体" w:hAnsi="宋体" w:hint="eastAsia"/>
              </w:rPr>
            </w:pPr>
            <w:r>
              <w:rPr>
                <w:rFonts w:ascii="宋体" w:hAnsi="宋体" w:hint="eastAsia"/>
              </w:rPr>
              <w:t>6，540</w:t>
            </w:r>
          </w:p>
        </w:tc>
        <w:tc>
          <w:tcPr>
            <w:tcW w:w="2268" w:type="dxa"/>
          </w:tcPr>
          <w:p w:rsidR="00CA619C" w:rsidRDefault="00CA619C" w:rsidP="00CA619C">
            <w:pPr>
              <w:rPr>
                <w:rFonts w:ascii="宋体" w:hAnsi="宋体" w:hint="eastAsia"/>
              </w:rPr>
            </w:pPr>
            <w:r>
              <w:rPr>
                <w:rFonts w:ascii="宋体" w:hAnsi="宋体" w:hint="eastAsia"/>
              </w:rPr>
              <w:t>53，600</w:t>
            </w:r>
          </w:p>
        </w:tc>
      </w:tr>
      <w:tr w:rsidR="00CA619C" w:rsidTr="00CA619C">
        <w:trPr>
          <w:cantSplit/>
        </w:trPr>
        <w:tc>
          <w:tcPr>
            <w:tcW w:w="3226" w:type="dxa"/>
            <w:vMerge w:val="restart"/>
            <w:vAlign w:val="center"/>
          </w:tcPr>
          <w:p w:rsidR="00CA619C" w:rsidRDefault="00CA619C" w:rsidP="00CA619C">
            <w:pPr>
              <w:rPr>
                <w:rFonts w:ascii="宋体" w:hAnsi="宋体" w:hint="eastAsia"/>
              </w:rPr>
            </w:pPr>
            <w:r>
              <w:rPr>
                <w:rFonts w:ascii="宋体" w:hAnsi="宋体" w:hint="eastAsia"/>
              </w:rPr>
              <w:t>总计</w:t>
            </w:r>
          </w:p>
        </w:tc>
        <w:tc>
          <w:tcPr>
            <w:tcW w:w="1703" w:type="dxa"/>
          </w:tcPr>
          <w:p w:rsidR="00CA619C" w:rsidRDefault="00CA619C" w:rsidP="00CA619C">
            <w:pPr>
              <w:rPr>
                <w:rFonts w:ascii="宋体" w:hAnsi="宋体" w:hint="eastAsia"/>
              </w:rPr>
            </w:pPr>
            <w:r>
              <w:rPr>
                <w:rFonts w:ascii="宋体" w:hAnsi="宋体" w:hint="eastAsia"/>
              </w:rPr>
              <w:t>预算主管当局</w:t>
            </w:r>
          </w:p>
        </w:tc>
        <w:tc>
          <w:tcPr>
            <w:tcW w:w="1699" w:type="dxa"/>
          </w:tcPr>
          <w:p w:rsidR="00CA619C" w:rsidRDefault="00CA619C" w:rsidP="00CA619C">
            <w:pPr>
              <w:rPr>
                <w:rFonts w:ascii="宋体" w:hAnsi="宋体" w:hint="eastAsia"/>
              </w:rPr>
            </w:pPr>
            <w:r>
              <w:rPr>
                <w:rFonts w:ascii="宋体" w:hAnsi="宋体" w:hint="eastAsia"/>
              </w:rPr>
              <w:t>288，728</w:t>
            </w:r>
          </w:p>
        </w:tc>
        <w:tc>
          <w:tcPr>
            <w:tcW w:w="2268" w:type="dxa"/>
          </w:tcPr>
          <w:p w:rsidR="00CA619C" w:rsidRDefault="00CA619C" w:rsidP="00CA619C">
            <w:pPr>
              <w:rPr>
                <w:rFonts w:ascii="宋体" w:hAnsi="宋体" w:hint="eastAsia"/>
              </w:rPr>
            </w:pPr>
            <w:r>
              <w:rPr>
                <w:rFonts w:ascii="宋体" w:hAnsi="宋体" w:hint="eastAsia"/>
              </w:rPr>
              <w:t>311，198</w:t>
            </w:r>
          </w:p>
        </w:tc>
      </w:tr>
      <w:tr w:rsidR="00CA619C" w:rsidTr="00CA619C">
        <w:trPr>
          <w:cantSplit/>
        </w:trPr>
        <w:tc>
          <w:tcPr>
            <w:tcW w:w="3226" w:type="dxa"/>
            <w:vMerge/>
            <w:vAlign w:val="center"/>
          </w:tcPr>
          <w:p w:rsidR="00CA619C" w:rsidRDefault="00CA619C" w:rsidP="00CA619C">
            <w:pPr>
              <w:rPr>
                <w:rFonts w:ascii="宋体" w:hAnsi="宋体" w:hint="eastAsia"/>
              </w:rPr>
            </w:pPr>
          </w:p>
        </w:tc>
        <w:tc>
          <w:tcPr>
            <w:tcW w:w="1703" w:type="dxa"/>
          </w:tcPr>
          <w:p w:rsidR="00CA619C" w:rsidRDefault="00CA619C" w:rsidP="00CA619C">
            <w:pPr>
              <w:rPr>
                <w:rFonts w:ascii="宋体" w:hAnsi="宋体" w:hint="eastAsia"/>
              </w:rPr>
            </w:pPr>
            <w:r>
              <w:rPr>
                <w:rFonts w:ascii="宋体" w:hAnsi="宋体" w:hint="eastAsia"/>
              </w:rPr>
              <w:t>预计支出</w:t>
            </w:r>
          </w:p>
        </w:tc>
        <w:tc>
          <w:tcPr>
            <w:tcW w:w="1699" w:type="dxa"/>
          </w:tcPr>
          <w:p w:rsidR="00CA619C" w:rsidRDefault="00CA619C" w:rsidP="00CA619C">
            <w:pPr>
              <w:rPr>
                <w:rFonts w:ascii="宋体" w:hAnsi="宋体" w:hint="eastAsia"/>
              </w:rPr>
            </w:pPr>
            <w:r>
              <w:rPr>
                <w:rFonts w:ascii="宋体" w:hAnsi="宋体" w:hint="eastAsia"/>
              </w:rPr>
              <w:t>34，792</w:t>
            </w:r>
          </w:p>
        </w:tc>
        <w:tc>
          <w:tcPr>
            <w:tcW w:w="2268" w:type="dxa"/>
          </w:tcPr>
          <w:p w:rsidR="00CA619C" w:rsidRDefault="00CA619C" w:rsidP="00CA619C">
            <w:pPr>
              <w:rPr>
                <w:rFonts w:ascii="宋体" w:hAnsi="宋体" w:hint="eastAsia"/>
              </w:rPr>
            </w:pPr>
            <w:r>
              <w:rPr>
                <w:rFonts w:ascii="宋体" w:hAnsi="宋体" w:hint="eastAsia"/>
              </w:rPr>
              <w:t>308，338</w:t>
            </w:r>
          </w:p>
        </w:tc>
      </w:tr>
    </w:tbl>
    <w:p w:rsidR="00CA619C" w:rsidRDefault="00CA619C" w:rsidP="00CA619C">
      <w:pPr>
        <w:pStyle w:val="a2"/>
        <w:ind w:left="840"/>
        <w:rPr>
          <w:rFonts w:hint="eastAsia"/>
        </w:rPr>
      </w:pPr>
      <w:r>
        <w:rPr>
          <w:rFonts w:hint="eastAsia"/>
        </w:rPr>
        <w:t>（资料来源：美国国会预算办公室）</w:t>
      </w:r>
    </w:p>
    <w:p w:rsidR="00CA619C" w:rsidRDefault="00CA619C" w:rsidP="00CA619C">
      <w:pPr>
        <w:numPr>
          <w:ilvl w:val="0"/>
          <w:numId w:val="9"/>
        </w:numPr>
        <w:spacing w:line="360" w:lineRule="auto"/>
        <w:rPr>
          <w:rFonts w:hint="eastAsia"/>
          <w:b/>
        </w:rPr>
      </w:pPr>
      <w:r>
        <w:rPr>
          <w:rFonts w:hint="eastAsia"/>
          <w:b/>
        </w:rPr>
        <w:t>美国页岩气领域的资金扶持计划</w:t>
      </w:r>
    </w:p>
    <w:p w:rsidR="00CA619C" w:rsidRDefault="00CA619C" w:rsidP="00CA619C">
      <w:pPr>
        <w:ind w:firstLine="480"/>
        <w:rPr>
          <w:rFonts w:hint="eastAsia"/>
        </w:rPr>
      </w:pPr>
      <w:r>
        <w:rPr>
          <w:rFonts w:hint="eastAsia"/>
        </w:rPr>
        <w:t>在页岩气领域，美国页岩气开发取得成功并非“偶然事件”，这在很大程度上得益于美国有利于新兴能源产业发展的系统且完善的市场环境。美国页岩气成功开发在政策及市场环境方面亦有诸多驱动因素，这主要体现在美国政府在页岩气产业发展初期就给予非常优惠的产业政策支持，包括直接由政府牵头组织技术和地质研究，以及政府直接资助页岩气勘探开发的前期技术研发与勘探研究。</w:t>
      </w:r>
    </w:p>
    <w:p w:rsidR="00CA619C" w:rsidRDefault="00CA619C" w:rsidP="00CA619C">
      <w:pPr>
        <w:ind w:firstLine="519"/>
        <w:rPr>
          <w:rFonts w:hint="eastAsia"/>
        </w:rPr>
      </w:pPr>
      <w:r>
        <w:rPr>
          <w:rFonts w:hint="eastAsia"/>
          <w:b/>
        </w:rPr>
        <w:t>一是美国政府牵头组织页岩气勘探开发的技术和地质研究。</w:t>
      </w:r>
      <w:r>
        <w:rPr>
          <w:rFonts w:hint="eastAsia"/>
        </w:rPr>
        <w:t>1973</w:t>
      </w:r>
      <w:r>
        <w:rPr>
          <w:rFonts w:hint="eastAsia"/>
        </w:rPr>
        <w:t>年阿以战争期间的石油禁运，</w:t>
      </w:r>
      <w:r>
        <w:rPr>
          <w:rFonts w:hint="eastAsia"/>
        </w:rPr>
        <w:t>1976-1977</w:t>
      </w:r>
      <w:r>
        <w:rPr>
          <w:rFonts w:hint="eastAsia"/>
        </w:rPr>
        <w:t>年间的第一次石油危机，以及对国内天然气资源可持续利用的考量等因素，促使美国能源部（</w:t>
      </w:r>
      <w:r>
        <w:rPr>
          <w:rFonts w:hint="eastAsia"/>
        </w:rPr>
        <w:t>DOE</w:t>
      </w:r>
      <w:r>
        <w:rPr>
          <w:rFonts w:hint="eastAsia"/>
        </w:rPr>
        <w:t>）在</w:t>
      </w:r>
      <w:r>
        <w:rPr>
          <w:rFonts w:hint="eastAsia"/>
        </w:rPr>
        <w:t>20</w:t>
      </w:r>
      <w:r>
        <w:rPr>
          <w:rFonts w:hint="eastAsia"/>
        </w:rPr>
        <w:t>世纪</w:t>
      </w:r>
      <w:r>
        <w:rPr>
          <w:rFonts w:hint="eastAsia"/>
        </w:rPr>
        <w:t>70</w:t>
      </w:r>
      <w:r>
        <w:rPr>
          <w:rFonts w:hint="eastAsia"/>
        </w:rPr>
        <w:t>年代加快了本国天然气勘探研究的步伐。美国能源部及其以后的能源研究和开发署</w:t>
      </w:r>
      <w:r>
        <w:rPr>
          <w:rFonts w:hint="eastAsia"/>
        </w:rPr>
        <w:t xml:space="preserve"> (ERDA)</w:t>
      </w:r>
      <w:r>
        <w:rPr>
          <w:rFonts w:hint="eastAsia"/>
        </w:rPr>
        <w:t>联合了美国国家地质调查局、州级地质调查所、大学以及工业团体，发起并实施了针对页岩气研究与开发</w:t>
      </w:r>
      <w:r>
        <w:rPr>
          <w:rFonts w:hint="eastAsia"/>
        </w:rPr>
        <w:t xml:space="preserve"> (R&amp;D)</w:t>
      </w:r>
      <w:r>
        <w:rPr>
          <w:rFonts w:hint="eastAsia"/>
        </w:rPr>
        <w:t>的东部页岩气工程，这主要包括阿巴拉契亚、密执安和伊利诺斯盆地。该项工程的目的就是加强对页岩气地质、地球化学、开发工程等方面的研究，摸清页岩气分布规律并进行资源潜力评价，研发过程中产生了一批科研成果，其中最重要的进展是认识到页岩气的吸附作用机理。页岩气吸附机理的认识对促使页岩气进入实质性开采起了决定性作用。该项研究的突破促使美国新的页岩气田不断被发现，勘探和研究范围迅速向其他地区扩展。仅</w:t>
      </w:r>
      <w:r>
        <w:rPr>
          <w:rFonts w:hint="eastAsia"/>
        </w:rPr>
        <w:t>20</w:t>
      </w:r>
      <w:r>
        <w:rPr>
          <w:rFonts w:hint="eastAsia"/>
        </w:rPr>
        <w:t>年的时间，页岩气年产量从</w:t>
      </w:r>
      <w:r>
        <w:rPr>
          <w:rFonts w:hint="eastAsia"/>
        </w:rPr>
        <w:t>1979</w:t>
      </w:r>
      <w:r>
        <w:rPr>
          <w:rFonts w:hint="eastAsia"/>
        </w:rPr>
        <w:t>年的</w:t>
      </w:r>
      <w:r>
        <w:rPr>
          <w:rFonts w:hint="eastAsia"/>
        </w:rPr>
        <w:t>13.5</w:t>
      </w:r>
      <w:r>
        <w:rPr>
          <w:rFonts w:hint="eastAsia"/>
        </w:rPr>
        <w:t>亿立方米到</w:t>
      </w:r>
      <w:r>
        <w:rPr>
          <w:rFonts w:hint="eastAsia"/>
        </w:rPr>
        <w:t>1999</w:t>
      </w:r>
      <w:r>
        <w:rPr>
          <w:rFonts w:hint="eastAsia"/>
        </w:rPr>
        <w:t>年的</w:t>
      </w:r>
      <w:r>
        <w:rPr>
          <w:rFonts w:hint="eastAsia"/>
        </w:rPr>
        <w:t>108</w:t>
      </w:r>
      <w:r>
        <w:rPr>
          <w:rFonts w:hint="eastAsia"/>
        </w:rPr>
        <w:t>亿立方米，净增了</w:t>
      </w:r>
      <w:r>
        <w:rPr>
          <w:rFonts w:hint="eastAsia"/>
        </w:rPr>
        <w:t>7</w:t>
      </w:r>
      <w:r>
        <w:rPr>
          <w:rFonts w:hint="eastAsia"/>
        </w:rPr>
        <w:t>倍</w:t>
      </w:r>
      <w:r>
        <w:rPr>
          <w:rStyle w:val="FootnoteReference"/>
          <w:rFonts w:ascii="宋体" w:hAnsi="宋体"/>
        </w:rPr>
        <w:footnoteReference w:id="21"/>
      </w:r>
      <w:r>
        <w:rPr>
          <w:rFonts w:hint="eastAsia"/>
        </w:rPr>
        <w:t>，美国页岩气开发研究得以进入了全面展开阶段。</w:t>
      </w:r>
      <w:bookmarkStart w:id="130" w:name="_Toc317058626"/>
    </w:p>
    <w:p w:rsidR="00CA619C" w:rsidRDefault="00CA619C" w:rsidP="00CA619C">
      <w:pPr>
        <w:ind w:firstLine="519"/>
        <w:rPr>
          <w:rFonts w:ascii="宋体" w:hAnsi="宋体" w:hint="eastAsia"/>
        </w:rPr>
      </w:pPr>
      <w:r>
        <w:rPr>
          <w:rFonts w:hint="eastAsia"/>
          <w:b/>
        </w:rPr>
        <w:t>二是美国政府直接资助前期技术研发与勘探研究</w:t>
      </w:r>
      <w:bookmarkEnd w:id="130"/>
      <w:r>
        <w:rPr>
          <w:rFonts w:hint="eastAsia"/>
          <w:b/>
        </w:rPr>
        <w:t>。</w:t>
      </w:r>
      <w:r>
        <w:rPr>
          <w:rFonts w:ascii="宋体" w:hAnsi="宋体" w:hint="eastAsia"/>
        </w:rPr>
        <w:t>根据美国国家能源技术实验室资料，20世纪70年代，美国能源部投资了9200万美元用于政府层面的勘探研究。到90年代后期研发工作主要由各石油公司进行。为鼓励科研机构以及油气公司开展非常规天然气的研发工作，美国专门设立了非常规油气资源研究基金，支持包括拨款、贷款和担保、培训资助、科研资助和勘探直接投入等相关活动。实践证明，后来美国页岩气领域的诸多技术突破都受益于政府对页岩气开发技术及勘探的研究与资助。</w:t>
      </w:r>
    </w:p>
    <w:p w:rsidR="00CA619C" w:rsidRDefault="00CA619C" w:rsidP="00CA619C">
      <w:pPr>
        <w:ind w:firstLine="480"/>
        <w:rPr>
          <w:rFonts w:hint="eastAsia"/>
        </w:rPr>
      </w:pPr>
      <w:r>
        <w:rPr>
          <w:rFonts w:hint="eastAsia"/>
        </w:rPr>
        <w:t>在页岩气资源得到开采，并逐渐实现商业开发后，美国政府也并未停止对页岩气等非常规气勘探及基础研发等工作的财政支持。例如，</w:t>
      </w:r>
      <w:r>
        <w:rPr>
          <w:rFonts w:hint="eastAsia"/>
        </w:rPr>
        <w:t>2004</w:t>
      </w:r>
      <w:r>
        <w:rPr>
          <w:rFonts w:hint="eastAsia"/>
        </w:rPr>
        <w:t>年美国政府在《能源法案》中规定到</w:t>
      </w:r>
      <w:r>
        <w:rPr>
          <w:rFonts w:hint="eastAsia"/>
        </w:rPr>
        <w:t>2015</w:t>
      </w:r>
      <w:r>
        <w:rPr>
          <w:rFonts w:hint="eastAsia"/>
        </w:rPr>
        <w:t>年的十年期间，政府将每年投资</w:t>
      </w:r>
      <w:r>
        <w:rPr>
          <w:rFonts w:hint="eastAsia"/>
        </w:rPr>
        <w:t>4500</w:t>
      </w:r>
      <w:r>
        <w:rPr>
          <w:rFonts w:hint="eastAsia"/>
        </w:rPr>
        <w:t>万美元用于非常规气研究。</w:t>
      </w:r>
    </w:p>
    <w:p w:rsidR="00CA619C" w:rsidRDefault="00CA619C" w:rsidP="00CA619C">
      <w:pPr>
        <w:ind w:firstLine="480"/>
      </w:pPr>
      <w:r>
        <w:rPr>
          <w:rFonts w:hint="eastAsia"/>
        </w:rPr>
        <w:t>据估计，从</w:t>
      </w:r>
      <w:r>
        <w:rPr>
          <w:rFonts w:hint="eastAsia"/>
        </w:rPr>
        <w:t>20</w:t>
      </w:r>
      <w:r>
        <w:rPr>
          <w:rFonts w:hint="eastAsia"/>
        </w:rPr>
        <w:t>世纪</w:t>
      </w:r>
      <w:r>
        <w:rPr>
          <w:rFonts w:hint="eastAsia"/>
        </w:rPr>
        <w:t>80</w:t>
      </w:r>
      <w:r>
        <w:rPr>
          <w:rFonts w:hint="eastAsia"/>
        </w:rPr>
        <w:t>年代初至今，美国政府先后投入了</w:t>
      </w:r>
      <w:r>
        <w:rPr>
          <w:rFonts w:hint="eastAsia"/>
        </w:rPr>
        <w:t>60</w:t>
      </w:r>
      <w:r>
        <w:rPr>
          <w:rFonts w:hint="eastAsia"/>
        </w:rPr>
        <w:t>多亿美元进行非常规气的勘探开发活动，其中用于培训与研究的费用近</w:t>
      </w:r>
      <w:r>
        <w:rPr>
          <w:rFonts w:hint="eastAsia"/>
        </w:rPr>
        <w:t>20</w:t>
      </w:r>
      <w:r>
        <w:rPr>
          <w:rFonts w:hint="eastAsia"/>
        </w:rPr>
        <w:t>亿美元。美国政府对页岩气开发的重视为页岩气发展提供了强劲动力，带来了技术进步与突破，使得页岩气产业迅速获得长足发展，产量持续上升。</w:t>
      </w:r>
    </w:p>
    <w:p w:rsidR="00CA619C" w:rsidRDefault="00CA619C" w:rsidP="00CA619C">
      <w:pPr>
        <w:pStyle w:val="Heading3"/>
        <w:numPr>
          <w:ilvl w:val="2"/>
          <w:numId w:val="1"/>
        </w:numPr>
        <w:tabs>
          <w:tab w:val="clear" w:pos="720"/>
        </w:tabs>
        <w:rPr>
          <w:rFonts w:hint="eastAsia"/>
        </w:rPr>
      </w:pPr>
      <w:bookmarkStart w:id="131" w:name="_Toc392853146"/>
      <w:r>
        <w:rPr>
          <w:rFonts w:hint="eastAsia"/>
        </w:rPr>
        <w:t>出台与产业发展阶段相匹配的财政及税收扶持政策</w:t>
      </w:r>
      <w:bookmarkEnd w:id="131"/>
    </w:p>
    <w:p w:rsidR="00CA619C" w:rsidRDefault="00CA619C" w:rsidP="00CA619C">
      <w:pPr>
        <w:ind w:firstLine="519"/>
        <w:rPr>
          <w:rFonts w:ascii="宋体" w:hAnsi="宋体" w:hint="eastAsia"/>
        </w:rPr>
      </w:pPr>
      <w:r>
        <w:rPr>
          <w:rFonts w:hint="eastAsia"/>
          <w:b/>
          <w:bCs/>
        </w:rPr>
        <w:t>美国积极出台法律及产业政策以拉动能源市场，抢占能源产业技术制高点。</w:t>
      </w:r>
      <w:r>
        <w:rPr>
          <w:rFonts w:hint="eastAsia"/>
        </w:rPr>
        <w:t>例如美国在页岩气产业启动初期，美国政府就</w:t>
      </w:r>
      <w:r>
        <w:rPr>
          <w:rFonts w:ascii="宋体" w:hAnsi="宋体" w:hint="eastAsia"/>
        </w:rPr>
        <w:t>对页岩气等非常规能源的上游开发实施非常优惠的税收优惠政策，包括税收减免与费用扣除等。1980年，美国政府于颁布的《原油意外获利法》</w:t>
      </w:r>
      <w:r>
        <w:rPr>
          <w:rStyle w:val="FootnoteReference"/>
          <w:rFonts w:ascii="宋体" w:hAnsi="宋体"/>
        </w:rPr>
        <w:footnoteReference w:id="22"/>
      </w:r>
      <w:r>
        <w:rPr>
          <w:rFonts w:ascii="宋体" w:hAnsi="宋体" w:hint="eastAsia"/>
        </w:rPr>
        <w:t>明确对1979年和1993年之间钻探的非常规油气与2003年之前生产和销售的页岩气均实施税收减免，而其他时期的页岩气开采则不能享受该项政策优惠。同时，美国政府还将对传统油气上游开发的税收优惠政策也移植到页岩气开发领域，对油气行业实施的五种税收优惠也适用于页岩气，包括无形钻探费用扣除、有形钻探费用扣除、租赁费用的扣除、工作权益视为主动收入、小生产商的耗竭补贴等；除了美国联邦政府出台的相关税收扶持优惠政策外，美国部分州政府也对页岩气开发实施了更为优惠的税收政策，如德克萨斯州自20世纪90年代初开始就对页岩气的开发不征收生产税。</w:t>
      </w:r>
    </w:p>
    <w:p w:rsidR="00CA619C" w:rsidRDefault="00CA619C" w:rsidP="00CA619C">
      <w:pPr>
        <w:pStyle w:val="Heading3"/>
        <w:numPr>
          <w:ilvl w:val="2"/>
          <w:numId w:val="1"/>
        </w:numPr>
        <w:tabs>
          <w:tab w:val="clear" w:pos="720"/>
        </w:tabs>
        <w:rPr>
          <w:rFonts w:hint="eastAsia"/>
        </w:rPr>
      </w:pPr>
      <w:bookmarkStart w:id="132" w:name="_Toc392853147"/>
      <w:r>
        <w:rPr>
          <w:rFonts w:hint="eastAsia"/>
        </w:rPr>
        <w:t>严格的市场及环境监管</w:t>
      </w:r>
      <w:bookmarkEnd w:id="132"/>
    </w:p>
    <w:p w:rsidR="00CA619C" w:rsidRDefault="00CA619C" w:rsidP="00CA619C">
      <w:pPr>
        <w:ind w:firstLine="480"/>
        <w:rPr>
          <w:rFonts w:hint="eastAsia"/>
        </w:rPr>
      </w:pPr>
      <w:bookmarkStart w:id="133" w:name="_Toc317058633"/>
      <w:r>
        <w:rPr>
          <w:rFonts w:hint="eastAsia"/>
        </w:rPr>
        <w:t>在页岩气领域，</w:t>
      </w:r>
      <w:r>
        <w:t>1992</w:t>
      </w:r>
      <w:r>
        <w:rPr>
          <w:rFonts w:hint="eastAsia"/>
        </w:rPr>
        <w:t>年美国联邦能源委员会颁布第</w:t>
      </w:r>
      <w:r>
        <w:t xml:space="preserve">636 </w:t>
      </w:r>
      <w:r>
        <w:rPr>
          <w:rFonts w:hint="eastAsia"/>
        </w:rPr>
        <w:t>号法令，取消管道公司对天然气购销市场的控制，规定管道公司只能从事输送服务。美国采取这种天然气开采和管道运输两种业务垂直分离的管理模式，即管道准入受到联邦能源管理委员会的监管，管道运营商对天然气供应商实施无歧视准入；管道运输价格受到监管，而天然气价格则完全放开。这种管网设施第三方准入的管理模式解决了页岩气开发商输送的需求，支持了应用市场的商业化开展。</w:t>
      </w:r>
    </w:p>
    <w:p w:rsidR="00CA619C" w:rsidRDefault="00CA619C" w:rsidP="00CA619C">
      <w:pPr>
        <w:ind w:firstLine="480"/>
        <w:rPr>
          <w:rFonts w:hint="eastAsia"/>
        </w:rPr>
      </w:pPr>
      <w:r>
        <w:rPr>
          <w:rFonts w:hint="eastAsia"/>
        </w:rPr>
        <w:t>例如，在页岩气方面，美国设立了严格的监管体系。</w:t>
      </w:r>
      <w:bookmarkEnd w:id="133"/>
      <w:r>
        <w:rPr>
          <w:rFonts w:hint="eastAsia"/>
        </w:rPr>
        <w:t>在页岩气发展初期，美国政府并未对页岩气采取特殊的监管政策，而是将常规天然气的监管框架自然而然地引用到页岩气的监管上来，即美国对传统油气上游勘探及生产、中游管网设施利用、下游分销商，以及相关环境保护方面的监管等都适用于页岩气开发。目前，美国对天然气行业的监管分为州内和联邦两个层面，其中联邦政府对天然气监管的依据是宪法的贸易条款，联邦制要求在州和联邦之间进行分权，即州政府有权监管州内的天然气业务，联邦则监管跨州的天然气业务，包括天然气管网第三方准入及利用。与此类似，美国页岩气的开发和生产涉及联邦、州和地方政府一系列复杂的法律，用来规范开采地的勘探开采以及相关操作。</w:t>
      </w:r>
    </w:p>
    <w:p w:rsidR="00CA619C" w:rsidRDefault="00CA619C" w:rsidP="00CA619C">
      <w:pPr>
        <w:pStyle w:val="Heading3"/>
        <w:numPr>
          <w:ilvl w:val="2"/>
          <w:numId w:val="1"/>
        </w:numPr>
        <w:tabs>
          <w:tab w:val="clear" w:pos="720"/>
        </w:tabs>
        <w:rPr>
          <w:rFonts w:hint="eastAsia"/>
        </w:rPr>
      </w:pPr>
      <w:bookmarkStart w:id="134" w:name="_Toc392853148"/>
      <w:r>
        <w:rPr>
          <w:rFonts w:hint="eastAsia"/>
        </w:rPr>
        <w:t>政府和非政府组织都是鼓励技术创新的政策环境创造者</w:t>
      </w:r>
      <w:bookmarkEnd w:id="134"/>
    </w:p>
    <w:p w:rsidR="00CA619C" w:rsidRDefault="00CA619C" w:rsidP="00CA619C">
      <w:pPr>
        <w:ind w:firstLine="480"/>
        <w:rPr>
          <w:rFonts w:hint="eastAsia"/>
        </w:rPr>
      </w:pPr>
      <w:r>
        <w:rPr>
          <w:rFonts w:hint="eastAsia"/>
        </w:rPr>
        <w:t>美国能源领域的政府机构和非政府组织为新兴能源产业的技术创新支撑体系建设提供了有力的基础服务支撑。美国新兴能源领域最具有影响力的政策和市场规则主要出自政府机构和非政府组织。</w:t>
      </w:r>
    </w:p>
    <w:p w:rsidR="00CA619C" w:rsidRDefault="00CA619C" w:rsidP="00CA619C">
      <w:pPr>
        <w:ind w:firstLine="480"/>
        <w:rPr>
          <w:rFonts w:hint="eastAsia"/>
        </w:rPr>
      </w:pPr>
      <w:r>
        <w:rPr>
          <w:rFonts w:hint="eastAsia"/>
        </w:rPr>
        <w:t>例如，在储能领域，最有影响力的政策和市场规则主要出自以下一些政府机构或非政府组织。在政府机构中，在联邦政府层面上，主要包括美国能源部（</w:t>
      </w:r>
      <w:r>
        <w:t>DOE</w:t>
      </w:r>
      <w:r>
        <w:rPr>
          <w:rFonts w:hint="eastAsia"/>
        </w:rPr>
        <w:t>）和联邦能源管理委员会（</w:t>
      </w:r>
      <w:r>
        <w:t>FERC</w:t>
      </w:r>
      <w:r>
        <w:rPr>
          <w:rFonts w:hint="eastAsia"/>
        </w:rPr>
        <w:t>）；在州政府层面上，主要包括州立公共事业委员会（</w:t>
      </w:r>
      <w:r>
        <w:t>PUC</w:t>
      </w:r>
      <w:r>
        <w:rPr>
          <w:rFonts w:hint="eastAsia"/>
        </w:rPr>
        <w:t>）。在非政府组织中，主要包括独立系统运营商</w:t>
      </w:r>
      <w:r>
        <w:t xml:space="preserve"> (ISOs) </w:t>
      </w:r>
      <w:r>
        <w:rPr>
          <w:rFonts w:hint="eastAsia"/>
        </w:rPr>
        <w:t>以及区域输电商</w:t>
      </w:r>
      <w:r>
        <w:t xml:space="preserve"> (RTOs)</w:t>
      </w:r>
      <w:r>
        <w:rPr>
          <w:rFonts w:hint="eastAsia"/>
        </w:rPr>
        <w:t>、北美电力可靠性公司（</w:t>
      </w:r>
      <w:r>
        <w:t>NERC</w:t>
      </w:r>
      <w:r>
        <w:rPr>
          <w:rFonts w:hint="eastAsia"/>
        </w:rPr>
        <w:t>）、电力存储协会（</w:t>
      </w:r>
      <w:r>
        <w:t>ESA</w:t>
      </w:r>
      <w:r>
        <w:rPr>
          <w:rFonts w:hint="eastAsia"/>
        </w:rPr>
        <w:t>）、和民间协会组织比如近来最有号召力的加州储能委员会（</w:t>
      </w:r>
      <w:r>
        <w:t>CESA</w:t>
      </w:r>
      <w:r>
        <w:rPr>
          <w:rFonts w:hint="eastAsia"/>
        </w:rPr>
        <w:t>）。</w:t>
      </w:r>
    </w:p>
    <w:p w:rsidR="00CA619C" w:rsidRDefault="00CA619C" w:rsidP="00CA619C">
      <w:pPr>
        <w:pStyle w:val="Heading2"/>
        <w:tabs>
          <w:tab w:val="clear" w:pos="575"/>
        </w:tabs>
        <w:rPr>
          <w:rFonts w:hint="eastAsia"/>
        </w:rPr>
      </w:pPr>
      <w:bookmarkStart w:id="135" w:name="_Toc392853149"/>
      <w:r>
        <w:rPr>
          <w:rFonts w:hint="eastAsia"/>
        </w:rPr>
        <w:t>美国经验总结及对中国的启示</w:t>
      </w:r>
      <w:bookmarkEnd w:id="135"/>
    </w:p>
    <w:p w:rsidR="00CA619C" w:rsidRDefault="00CA619C" w:rsidP="00CA619C">
      <w:pPr>
        <w:ind w:firstLine="480"/>
        <w:rPr>
          <w:rFonts w:hint="eastAsia"/>
        </w:rPr>
      </w:pPr>
      <w:r>
        <w:rPr>
          <w:rFonts w:hint="eastAsia"/>
        </w:rPr>
        <w:t>综合上述美国在各类新兴能源产业技术发展的实践不难看出，一个能够支持长期技术创新的研发体系和多渠道的商业化机制是推动能源产业发展不可或缺的条件。通过对美国能源产业技术创新及支撑系的分析研究，对我国能源产业技术创新支撑体系建设具有如下启示：</w:t>
      </w:r>
    </w:p>
    <w:p w:rsidR="00CA619C" w:rsidRDefault="00CA619C" w:rsidP="00CA619C">
      <w:pPr>
        <w:ind w:firstLine="480"/>
        <w:rPr>
          <w:rFonts w:hint="eastAsia"/>
        </w:rPr>
      </w:pPr>
      <w:r>
        <w:rPr>
          <w:rFonts w:hint="eastAsia"/>
        </w:rPr>
        <w:t>（</w:t>
      </w:r>
      <w:r>
        <w:rPr>
          <w:rFonts w:hint="eastAsia"/>
        </w:rPr>
        <w:t>1</w:t>
      </w:r>
      <w:r>
        <w:rPr>
          <w:rFonts w:hint="eastAsia"/>
        </w:rPr>
        <w:t>）研发体系中充足的资金与人才资源，科学的评价系统以及有效的管理方法是可持续的创新力的保证。如何通过管理机构、管理系统及激励机制的设置使相关资源更加合理、更加有效地发挥作用，从而吸引更多的资本投入以促进创新的繁荣应是能源产业及各类新兴能源发展首要解决的问题。</w:t>
      </w:r>
    </w:p>
    <w:p w:rsidR="00CA619C" w:rsidRDefault="00CA619C" w:rsidP="00CA619C">
      <w:pPr>
        <w:ind w:firstLine="480"/>
        <w:rPr>
          <w:rFonts w:hint="eastAsia"/>
        </w:rPr>
      </w:pPr>
      <w:r>
        <w:rPr>
          <w:rFonts w:hint="eastAsia"/>
        </w:rPr>
        <w:t>（</w:t>
      </w:r>
      <w:r>
        <w:rPr>
          <w:rFonts w:hint="eastAsia"/>
        </w:rPr>
        <w:t>2</w:t>
      </w:r>
      <w:r>
        <w:rPr>
          <w:rFonts w:hint="eastAsia"/>
        </w:rPr>
        <w:t>）能源技术创新成果的转化机制是实现能源产业发展的关键。并非最先进的技术就能产生最好的产品，也并非最好的产品就是最适合于商业应用的。因此，多样的产品转化渠道和高效的商业转化机制的推广是推动能源产业，尤其是新兴能源产业发展的必要条件之一。同时，培养和积累对技术产品化和产品商业化有专业经验的人才队伍更是当务之急。</w:t>
      </w:r>
    </w:p>
    <w:p w:rsidR="00CA619C" w:rsidRDefault="00CA619C" w:rsidP="00CA619C">
      <w:pPr>
        <w:ind w:firstLine="480"/>
        <w:rPr>
          <w:rFonts w:hint="eastAsia"/>
        </w:rPr>
      </w:pPr>
      <w:r>
        <w:rPr>
          <w:rFonts w:hint="eastAsia"/>
        </w:rPr>
        <w:t>（</w:t>
      </w:r>
      <w:r>
        <w:rPr>
          <w:rFonts w:hint="eastAsia"/>
        </w:rPr>
        <w:t>3</w:t>
      </w:r>
      <w:r>
        <w:rPr>
          <w:rFonts w:hint="eastAsia"/>
        </w:rPr>
        <w:t>）一个相对宽松的市场环境（包括政策环境及监管机制）对于商业模型的创新必不可少。使先进的技术应用和优秀的商业运作为社会创造最大的价值，需要创造一个健康的市场环境，同时通过法律、政策、行业标准、专利、金融与投资，以及监管和公平的市场竞争规则加以引导，才能真正推动行业乃至经济整体产生实质性的增长。没有哪一个具有技术导向性的能源产业产业（创新兴）是在低成本竞争的环境中成长起来的。因此，在市场初期发展阶段，给予一定的政策倾斜以确保处于竞争劣势的新兴能源产业具有一定的生存发展空间，以及逐步为其建立一个良好的竞争环境都应该是国家层面的战略性的考虑。尤其是在我国电力行业仍然是高度垄断的条件下，这种以创新为导向的行业发展趋势更是面临着全方位的挑战。如何以战略的政策设计逐步引导建立相对商业化的市场体系是储能乃至整个能源行业需要急迫解决的问题。</w:t>
      </w:r>
    </w:p>
    <w:p w:rsidR="00CA619C" w:rsidRDefault="00CA619C" w:rsidP="00CA619C">
      <w:pPr>
        <w:ind w:firstLine="480"/>
        <w:rPr>
          <w:rFonts w:hint="eastAsia"/>
        </w:rPr>
      </w:pPr>
      <w:r>
        <w:rPr>
          <w:rFonts w:hint="eastAsia"/>
        </w:rPr>
        <w:t>（</w:t>
      </w:r>
      <w:r>
        <w:rPr>
          <w:rFonts w:hint="eastAsia"/>
        </w:rPr>
        <w:t>4</w:t>
      </w:r>
      <w:r>
        <w:rPr>
          <w:rFonts w:hint="eastAsia"/>
        </w:rPr>
        <w:t>）要实现能源产业创新技术的有序接替或衔接，还需要长期和稳定的政策与合理的竞争市场来保证。然而，立足于能源战略和产业的可持续发展，如何通过诸如短期的配额及补贴政策和长期的税收及投资再分配等政策手段，实行对能源行业的调整以及逐步建立有序竞争的市场应是政府工作的重点；长期的能源产业发展应该留给市场由其因供需关系引起的价格机制去调节，只有这样才能有效实现优胜劣汰，促进能源产业可持续地健康发展。</w:t>
      </w:r>
    </w:p>
    <w:p w:rsidR="00CA619C" w:rsidRDefault="00CA619C" w:rsidP="00CA619C">
      <w:pPr>
        <w:pStyle w:val="Heading1"/>
        <w:tabs>
          <w:tab w:val="clear" w:pos="432"/>
        </w:tabs>
        <w:rPr>
          <w:rFonts w:ascii="宋体" w:hAnsi="宋体" w:hint="eastAsia"/>
          <w:sz w:val="24"/>
          <w:szCs w:val="24"/>
        </w:rPr>
      </w:pPr>
      <w:bookmarkStart w:id="136" w:name="_Toc382749784"/>
      <w:bookmarkStart w:id="137" w:name="_Toc392853150"/>
      <w:r>
        <w:rPr>
          <w:rFonts w:ascii="宋体" w:hAnsi="宋体" w:hint="eastAsia"/>
          <w:sz w:val="24"/>
          <w:szCs w:val="24"/>
        </w:rPr>
        <w:t>我国新兴能源产业技术创新支撑体系现状及存在的问题</w:t>
      </w:r>
      <w:bookmarkEnd w:id="136"/>
      <w:bookmarkEnd w:id="137"/>
    </w:p>
    <w:p w:rsidR="00CA619C" w:rsidRDefault="00CA619C" w:rsidP="00CA619C">
      <w:pPr>
        <w:ind w:firstLine="480"/>
        <w:rPr>
          <w:rFonts w:hint="eastAsia"/>
        </w:rPr>
      </w:pPr>
      <w:r>
        <w:rPr>
          <w:rFonts w:hint="eastAsia"/>
        </w:rPr>
        <w:t>据对我国风电、光伏、储能及页岩气四个能源产业技术创新现状及问题的调研，发现虽然我国拥有非常强大的由政府计划推广的扶持科技创新的战略计划，但在新兴能源产业技术创新支撑体系建设上，总体却缺乏市场主动的或自发的创新精神，致使国内缺乏源头性创新的能力；同时，国家在创新技术产业化及成果推广方面或者滞后、或者缺乏长效机制，这也导致国内自主创新活力不足，必然带来多数产业的关键核心技术及装备依赖引进国外先进或全部进口；此外，我国在培育产业技术创新能力的政策环境及社会氛围方面也存在较大不足，优于是一些涉及产业健康有序发展的电价机制、补贴机制及监管体系等体制机制问题没能得到较好的解决，也影响了我国新兴能源产业技术创新进展。</w:t>
      </w:r>
    </w:p>
    <w:p w:rsidR="00CA619C" w:rsidRDefault="00CA619C" w:rsidP="00CA619C">
      <w:pPr>
        <w:pStyle w:val="Heading2"/>
        <w:tabs>
          <w:tab w:val="clear" w:pos="575"/>
          <w:tab w:val="left" w:pos="432"/>
        </w:tabs>
      </w:pPr>
      <w:bookmarkStart w:id="138" w:name="_Toc382749785"/>
      <w:bookmarkStart w:id="139" w:name="_Toc392853151"/>
      <w:r>
        <w:rPr>
          <w:rFonts w:hint="eastAsia"/>
        </w:rPr>
        <w:t>创新技术供给现状</w:t>
      </w:r>
      <w:bookmarkEnd w:id="138"/>
      <w:bookmarkEnd w:id="139"/>
    </w:p>
    <w:p w:rsidR="00CA619C" w:rsidRDefault="00CA619C" w:rsidP="00CA619C">
      <w:pPr>
        <w:ind w:firstLine="480"/>
        <w:rPr>
          <w:rFonts w:ascii="宋体" w:hAnsi="宋体" w:cs="宋体" w:hint="eastAsia"/>
          <w:color w:val="000000"/>
        </w:rPr>
      </w:pPr>
      <w:bookmarkStart w:id="140" w:name="_Toc362849878"/>
      <w:bookmarkStart w:id="141" w:name="_Toc362874676"/>
      <w:bookmarkStart w:id="142" w:name="_Toc365615565"/>
      <w:bookmarkStart w:id="143" w:name="_Toc368920407"/>
      <w:r>
        <w:rPr>
          <w:rFonts w:ascii="宋体" w:hAnsi="宋体" w:cs="宋体" w:hint="eastAsia"/>
          <w:color w:val="000000"/>
        </w:rPr>
        <w:t>近年来，我国很多新兴能源产业发展常常经历的一个“怪圈”是，当该产业出现重大发展机会的时候，各种资本会大举进入该产业；在没有自主技术支撑的情况下，企业就通过引进国外技术和生产线在国内迅速形成巨大的生产能力，往往在一半甚至更短的时间内达到国外经过多年才能实现的产能。</w:t>
      </w:r>
    </w:p>
    <w:p w:rsidR="00CA619C" w:rsidRDefault="00CA619C" w:rsidP="00CA619C">
      <w:pPr>
        <w:ind w:firstLine="480"/>
        <w:rPr>
          <w:rFonts w:ascii="宋体" w:hAnsi="宋体" w:cs="宋体" w:hint="eastAsia"/>
          <w:color w:val="000000"/>
        </w:rPr>
      </w:pPr>
      <w:r>
        <w:rPr>
          <w:rFonts w:ascii="宋体" w:hAnsi="宋体" w:cs="宋体" w:hint="eastAsia"/>
          <w:color w:val="000000"/>
        </w:rPr>
        <w:t>这种“一哄而上”的结果很容易迅速导致国内甚至全球的产能过剩。同时，在不得不面对产能过剩的巨大压力面临，国内很多企业又偏好于采取以规模化获取低成本和超低价格的竞争战略全力打压竞争对手，使得整个行业很快陷入恶性竞争。低水平竞争导致企业利润率降低，结果是严重削弱了企业和行业的研发投资，使整个行业长期停留在低水平，在缺乏自主发展能力的状况下，一个新的产业很快被做“滥”，这种“暴生暴滥”，使得这些新兴的产业难以最终形成具有支持我国经济增长能力的新兴产业。</w:t>
      </w:r>
      <w:bookmarkEnd w:id="140"/>
      <w:bookmarkEnd w:id="141"/>
      <w:bookmarkEnd w:id="142"/>
      <w:bookmarkEnd w:id="143"/>
    </w:p>
    <w:p w:rsidR="00CA619C" w:rsidRDefault="00CA619C" w:rsidP="00CA619C">
      <w:pPr>
        <w:pStyle w:val="Heading3"/>
        <w:numPr>
          <w:ilvl w:val="2"/>
          <w:numId w:val="1"/>
        </w:numPr>
        <w:tabs>
          <w:tab w:val="clear" w:pos="720"/>
        </w:tabs>
        <w:rPr>
          <w:rFonts w:hint="eastAsia"/>
        </w:rPr>
      </w:pPr>
      <w:bookmarkStart w:id="144" w:name="_Toc382749798"/>
      <w:bookmarkStart w:id="145" w:name="_Toc392853152"/>
      <w:r>
        <w:rPr>
          <w:rFonts w:hint="eastAsia"/>
        </w:rPr>
        <w:t>新兴能源产业技术创新遭遇瓶颈</w:t>
      </w:r>
      <w:bookmarkEnd w:id="144"/>
      <w:bookmarkEnd w:id="145"/>
    </w:p>
    <w:p w:rsidR="00CA619C" w:rsidRDefault="00CA619C" w:rsidP="00CA619C">
      <w:pPr>
        <w:pStyle w:val="NormalWeb"/>
        <w:spacing w:before="0" w:beforeAutospacing="0" w:after="0" w:afterAutospacing="0"/>
        <w:ind w:firstLine="480"/>
        <w:rPr>
          <w:rFonts w:hint="eastAsia"/>
          <w:sz w:val="24"/>
          <w:szCs w:val="24"/>
        </w:rPr>
      </w:pPr>
      <w:r>
        <w:rPr>
          <w:rFonts w:hint="eastAsia"/>
          <w:sz w:val="24"/>
          <w:szCs w:val="24"/>
        </w:rPr>
        <w:t>综合本报告前述，可以看到虽然我国新兴能源产业技术取得了较好的成绩，但同时我们又必须认识到，在国际能源技术层出不断的市场化竞争大环境中，我国新兴能源产业整体依然受困于主要依赖加工制造和低成本竞争的环节。其中突出的矛盾，在于大量企业遇到了源头性创新的瓶颈，这种瓶颈大致表现在：</w:t>
      </w:r>
    </w:p>
    <w:p w:rsidR="00CA619C" w:rsidRDefault="00CA619C" w:rsidP="00CA619C">
      <w:pPr>
        <w:pStyle w:val="NormalWeb"/>
        <w:spacing w:before="0" w:beforeAutospacing="0" w:after="0" w:afterAutospacing="0"/>
        <w:ind w:firstLine="480"/>
        <w:rPr>
          <w:rFonts w:hint="eastAsia"/>
          <w:sz w:val="24"/>
          <w:szCs w:val="24"/>
        </w:rPr>
      </w:pPr>
      <w:r>
        <w:rPr>
          <w:rFonts w:hint="eastAsia"/>
          <w:sz w:val="24"/>
          <w:szCs w:val="24"/>
        </w:rPr>
        <w:t>一是新兴能源产业技术缺乏源头性创新的能力。我国新兴能源产业的本土企业长期受困于西方跨国企业主导的全球生产链低端，具体表现为产品附加值不高，抗国际市场波动能力小，这在我国光伏产业中表现的尤为突出。</w:t>
      </w:r>
    </w:p>
    <w:p w:rsidR="00CA619C" w:rsidRDefault="00CA619C" w:rsidP="00CA619C">
      <w:pPr>
        <w:pStyle w:val="NormalWeb"/>
        <w:spacing w:before="0" w:beforeAutospacing="0" w:after="0" w:afterAutospacing="0"/>
        <w:ind w:firstLine="480"/>
        <w:rPr>
          <w:rFonts w:hint="eastAsia"/>
          <w:sz w:val="24"/>
          <w:szCs w:val="24"/>
        </w:rPr>
      </w:pPr>
      <w:r>
        <w:rPr>
          <w:rFonts w:hint="eastAsia"/>
          <w:sz w:val="24"/>
          <w:szCs w:val="24"/>
        </w:rPr>
        <w:t>二是核心技术依赖引进或完全进口。我国新兴能源产业中有不少中本土企业的技术来源主要依靠从西方合作伙伴手中引进大量“先进的技术”，但这些“先进的技术”往往只是以设备、生产线或技术图纸为载体的。随着现代能源技术越发展越复杂，追赶者单纯从设备、生产线和图纸已经很难深入把握这些能源技术背后的知识；西方跨国公司依然掌握了能源核心技术轨道发展的主导权，以至于跨国公司一旦采取技术变轨战略就往往能使我国本土工业在技术资本品上的大量投资变成全面落后。这在我国风电技术方面体现的尤为突出，同时储能电池生产的隔膜主要依靠进口。</w:t>
      </w:r>
    </w:p>
    <w:p w:rsidR="00CA619C" w:rsidRDefault="00CA619C" w:rsidP="00CA619C">
      <w:pPr>
        <w:pStyle w:val="NormalWeb"/>
        <w:spacing w:before="0" w:beforeAutospacing="0" w:after="0" w:afterAutospacing="0"/>
        <w:ind w:firstLine="480"/>
        <w:rPr>
          <w:rFonts w:hint="eastAsia"/>
          <w:sz w:val="24"/>
          <w:szCs w:val="24"/>
        </w:rPr>
      </w:pPr>
      <w:r>
        <w:rPr>
          <w:rFonts w:hint="eastAsia"/>
          <w:sz w:val="24"/>
          <w:szCs w:val="24"/>
        </w:rPr>
        <w:t>三是缺乏知识创新的长效机制。我国新兴能源产业中仅有的少数创新型企业虽然已经获得了一定的技术突破，但企业的运作方式却往往只是项目式的，没有一个知识创新的长效机制，因此等到相关项目的创新效应被充分消化后，整个企业的活力就消退了。</w:t>
      </w:r>
    </w:p>
    <w:p w:rsidR="00CA619C" w:rsidRDefault="00CA619C" w:rsidP="00CA619C">
      <w:pPr>
        <w:pStyle w:val="Heading3"/>
        <w:numPr>
          <w:ilvl w:val="2"/>
          <w:numId w:val="1"/>
        </w:numPr>
        <w:tabs>
          <w:tab w:val="clear" w:pos="720"/>
        </w:tabs>
        <w:rPr>
          <w:rFonts w:hint="eastAsia"/>
        </w:rPr>
      </w:pPr>
      <w:bookmarkStart w:id="146" w:name="_Toc392853153"/>
      <w:r>
        <w:rPr>
          <w:rFonts w:hint="eastAsia"/>
        </w:rPr>
        <w:t>创新供给条件不足，产学研局面较为混乱</w:t>
      </w:r>
      <w:bookmarkEnd w:id="146"/>
    </w:p>
    <w:p w:rsidR="00CA619C" w:rsidRDefault="00CA619C" w:rsidP="00CA619C">
      <w:pPr>
        <w:ind w:firstLine="480"/>
        <w:rPr>
          <w:rFonts w:ascii="宋体" w:hAnsi="宋体"/>
        </w:rPr>
      </w:pPr>
      <w:r>
        <w:rPr>
          <w:rFonts w:ascii="宋体" w:hAnsi="宋体" w:hint="eastAsia"/>
        </w:rPr>
        <w:t>尽管我国已是世界专利大国、大学生及工程师规模庞大，但各类企业仍缺乏创新人才，特别是领军人物。这根源于我们的教育与人才体制改革滞后，大学培养的人才远不适应创新需求，如在工程技术领域，大量企业找不到专业对口的学生，一些即使专业对口的学生到企业后往往也要经过一两年再培养才能真正发挥作用。对高层次人才的行政评定、以文章和论文论英雄、遵循官本位和论资排辈的做法，限制了人才优势的发挥。</w:t>
      </w:r>
    </w:p>
    <w:p w:rsidR="00CA619C" w:rsidRDefault="00CA619C" w:rsidP="00CA619C">
      <w:pPr>
        <w:ind w:firstLineChars="196" w:firstLine="412"/>
        <w:rPr>
          <w:rFonts w:ascii="宋体" w:hAnsi="宋体" w:hint="eastAsia"/>
        </w:rPr>
      </w:pPr>
      <w:r>
        <w:rPr>
          <w:rFonts w:ascii="宋体" w:hAnsi="宋体" w:hint="eastAsia"/>
        </w:rPr>
        <w:t>我国基础研究水平、创新基础设施建设仍明显不足，缺乏原创性技术突破，制约了企业实现前沿创新的进程。原始创新源于基础研究，重大的科学发现与突破也要依赖基础研究，但近年来我国基础研究所占研发经费的比例一直在</w:t>
      </w:r>
      <w:r>
        <w:rPr>
          <w:rFonts w:ascii="宋体" w:hAnsi="宋体"/>
        </w:rPr>
        <w:t>5%</w:t>
      </w:r>
      <w:r>
        <w:rPr>
          <w:rFonts w:ascii="宋体" w:hAnsi="宋体" w:hint="eastAsia"/>
        </w:rPr>
        <w:t>以下，远低于美国</w:t>
      </w:r>
      <w:r>
        <w:rPr>
          <w:rFonts w:ascii="宋体" w:hAnsi="宋体"/>
        </w:rPr>
        <w:t>18%</w:t>
      </w:r>
      <w:r>
        <w:rPr>
          <w:rFonts w:ascii="宋体" w:hAnsi="宋体" w:hint="eastAsia"/>
        </w:rPr>
        <w:t>、法国</w:t>
      </w:r>
      <w:r>
        <w:rPr>
          <w:rFonts w:ascii="宋体" w:hAnsi="宋体"/>
        </w:rPr>
        <w:t>24%</w:t>
      </w:r>
      <w:r>
        <w:rPr>
          <w:rFonts w:ascii="宋体" w:hAnsi="宋体" w:hint="eastAsia"/>
        </w:rPr>
        <w:t>、日本</w:t>
      </w:r>
      <w:r>
        <w:rPr>
          <w:rFonts w:ascii="宋体" w:hAnsi="宋体"/>
        </w:rPr>
        <w:t>12%</w:t>
      </w:r>
      <w:r>
        <w:rPr>
          <w:rFonts w:ascii="宋体" w:hAnsi="宋体" w:hint="eastAsia"/>
        </w:rPr>
        <w:t>的水平。我们很多企业在发展壮大后，要想持续创新，面临的共同问题是缺乏科学储备和原创性技术突破，国外公司在这个阶段可以较容易地从大学、研究机构获得相应的创新资源，但国内的大学、研究机构等能提供给企业基础性的、原创性的技术并不多。</w:t>
      </w:r>
    </w:p>
    <w:p w:rsidR="00CA619C" w:rsidRDefault="00CA619C" w:rsidP="00CA619C">
      <w:pPr>
        <w:ind w:firstLineChars="196" w:firstLine="412"/>
        <w:rPr>
          <w:rFonts w:ascii="宋体" w:hAnsi="宋体" w:hint="eastAsia"/>
        </w:rPr>
      </w:pPr>
      <w:r>
        <w:rPr>
          <w:rFonts w:ascii="宋体" w:hAnsi="宋体" w:hint="eastAsia"/>
        </w:rPr>
        <w:t>同时，我国产学研陷入混乱局面。首先，我国的高等院校既要做研究，又要做试验，甚至部分院系还不得不创办企业自谋生路。事实上，学校难以发挥研究所致力开展应用研究的作用，也难以获得企业持续的资金支持，结果使得学校无法集精力与主业，顾头顾不上尾，企业办得也很累，难成气候。同样，有些承担“产学研”中间环节的研究所也开始成立自己的企业，试图将研究所的成果凭借自身力量推广起来。现实是研究所要想独立管理好一个公司是非常困难的，这与研究所的基础有很大的关系，研究所一般都有自己的研究方法，科研人员最擅长的是基础研究，试验与应用研究也仅需要少量的实体产品，真正要实现规模化生产及市场化应用还是需要由专门的企业来完成的，结果造成早期承担试验及应用研究的研究所实际上已经名存实亡，国家不仅损失了科研力量，也失去了技术创新的源泉。最后，真正担负产品加工及生产的企业又不得不既做基础技术研发、试验，又做生产应用，结果只能是两头都顾不上；即便是企业自主产品研发成功了，但由于前期投入大量人力、物力也大大抬高了产品成本，影响产品的在市场上的竞争力。</w:t>
      </w:r>
    </w:p>
    <w:p w:rsidR="00CA619C" w:rsidRDefault="00CA619C" w:rsidP="00CA619C">
      <w:pPr>
        <w:pStyle w:val="Heading3"/>
        <w:numPr>
          <w:ilvl w:val="2"/>
          <w:numId w:val="1"/>
        </w:numPr>
        <w:tabs>
          <w:tab w:val="clear" w:pos="720"/>
        </w:tabs>
        <w:rPr>
          <w:rFonts w:hint="eastAsia"/>
        </w:rPr>
      </w:pPr>
      <w:bookmarkStart w:id="147" w:name="_Toc14949"/>
      <w:bookmarkStart w:id="148" w:name="_Toc382749786"/>
      <w:bookmarkStart w:id="149" w:name="_Toc392853154"/>
      <w:r>
        <w:rPr>
          <w:rFonts w:hint="eastAsia"/>
        </w:rPr>
        <w:t>我国的公共研发能力在改革中被削弱</w:t>
      </w:r>
      <w:bookmarkEnd w:id="147"/>
      <w:bookmarkEnd w:id="148"/>
      <w:bookmarkEnd w:id="149"/>
    </w:p>
    <w:p w:rsidR="00CA619C" w:rsidRDefault="00CA619C" w:rsidP="00CA619C">
      <w:pPr>
        <w:widowControl/>
        <w:ind w:firstLine="480"/>
        <w:jc w:val="left"/>
        <w:rPr>
          <w:rFonts w:hint="eastAsia"/>
        </w:rPr>
      </w:pPr>
      <w:r>
        <w:rPr>
          <w:rFonts w:hint="eastAsia"/>
        </w:rPr>
        <w:t>在国家能源技术创新体系中，我们一个很大的短板是公共研发体系的缺失。由于缺乏强大的公共研发力量支持，导致我国虽然建立了体系庞大、世界级规模的能源工业体系，甚至能抢先发达国家发力于新兴能源产业，但是源头创新非常少，这导致了不仅在传统能源产业领域，即使在新兴能源产业领域，我们总是后续发展乏力。当发生重大技术变革或重大技术跃升的时候，我们很多刚刚建立起来的能源工业体系很快陷入落后。</w:t>
      </w:r>
    </w:p>
    <w:p w:rsidR="00CA619C" w:rsidRDefault="00CA619C" w:rsidP="00CA619C">
      <w:pPr>
        <w:ind w:firstLine="480"/>
        <w:rPr>
          <w:rFonts w:hint="eastAsia"/>
        </w:rPr>
      </w:pPr>
      <w:r>
        <w:rPr>
          <w:rFonts w:hint="eastAsia"/>
        </w:rPr>
        <w:t>仅通过中美在能源领域的公共研发能力对比，我们就明显感到两国的差距。美国有几十个力量雄厚的国家实验室以及众多的研究型大学，是美国的能源技术创新的源头，而我们至今没有建立起一个成规模、在能源领域有一定研究能力的公共研究机构。这与我们对公共研究机构的定位与改革设计直接相关。自改革开放以来，我国的公共研发部门已得到很大发展。尤其以</w:t>
      </w:r>
      <w:r>
        <w:rPr>
          <w:rFonts w:hint="eastAsia"/>
        </w:rPr>
        <w:t>1985</w:t>
      </w:r>
      <w:r>
        <w:rPr>
          <w:rFonts w:hint="eastAsia"/>
        </w:rPr>
        <w:t>年、</w:t>
      </w:r>
      <w:r>
        <w:rPr>
          <w:rFonts w:hint="eastAsia"/>
        </w:rPr>
        <w:t>1998</w:t>
      </w:r>
      <w:r>
        <w:rPr>
          <w:rFonts w:hint="eastAsia"/>
        </w:rPr>
        <w:t>年调整为核心的几次改革，减少了公共研发部门的计划成分，增加了市场成分。这些改革在当时都很具针对性，因为长期以来我国产业部门的研发能力都很薄弱，而计划体制下科研部门与产业部门距离过大、系统效率低，因此把公共研发部门的活动甚至组织部分地“市场化”，能直接补强产业部门的研发能力。当时的经济环境是支持这种改革的，但是，把公共研发部门部分“市场化”的改革并没有根本改变我国新知识生产不足的困境。相反，这些改革在增加科研院所对应用技术的研究和商业化运作的同时，也降低了它们对探索新知识的投入比例，甚至削弱了它们关注知识生产的动机。知识生产与产业创新发展之间互相促进的关系依然没有普遍建立起来。与此同时，经过三十年的改革发展，我国的能源工业使命已不再是当初的“全面追赶”</w:t>
      </w:r>
      <w:r>
        <w:rPr>
          <w:rFonts w:hint="eastAsia"/>
        </w:rPr>
        <w:t>,</w:t>
      </w:r>
      <w:r>
        <w:rPr>
          <w:rFonts w:hint="eastAsia"/>
        </w:rPr>
        <w:t>我们不能再一味倚重以低成本制造为核心的发展方式。但是我国公共研发部门的发展现状并不能提供这些新兴能源领域一些前沿创新竞争所需的新知识。其中，过度的“市场化”使公共研发部门过多地介入私用技术的委托研发，削弱了它生产并传播公用知识的职能，使本土创新体系中公用知识尤其是基础性知识的生产、升级和传播不足。</w:t>
      </w:r>
    </w:p>
    <w:p w:rsidR="00CA619C" w:rsidRDefault="00CA619C" w:rsidP="00CA619C">
      <w:pPr>
        <w:widowControl/>
        <w:ind w:firstLine="480"/>
        <w:jc w:val="left"/>
        <w:rPr>
          <w:rFonts w:hint="eastAsia"/>
        </w:rPr>
      </w:pPr>
      <w:r>
        <w:rPr>
          <w:rFonts w:hint="eastAsia"/>
        </w:rPr>
        <w:t>在能源领域，公共研发部门的前沿探索相对于产业部门已没有优势，甚至已落后，不少公共研发部门产生了以短期及直接经济回报为导向的考核文化，一些公共部门在参与市场竞争中甚至以自身作为行业规制者的特殊角色妨碍了国内整体的技术进步，扭曲了它们本应主要服务于社会整体进步与知识扩散的角色。“以发表为中心”的学术绩效考核机制也是我国能源领域公共研发部门新知识生产效率低下的另一原因。这套考核机制主要源自</w:t>
      </w:r>
      <w:r>
        <w:rPr>
          <w:rFonts w:hint="eastAsia"/>
        </w:rPr>
        <w:t>90</w:t>
      </w:r>
      <w:r>
        <w:rPr>
          <w:rFonts w:hint="eastAsia"/>
        </w:rPr>
        <w:t>年代的改革，在当时促进了各高校和院所的学术竞争与国际化；但一味强调发表指标，又会造成了科研人员偏好于易发表的研究活动的倾向，以自己擅长的、而不一定是知识竞争主战场的内容为研究对象，甚至完全固守自己熟悉的、狭窄的知识领域，扭曲了科研部门有价值的冒险与自主探索。</w:t>
      </w:r>
    </w:p>
    <w:p w:rsidR="00CA619C" w:rsidRDefault="00CA619C" w:rsidP="00CA619C">
      <w:pPr>
        <w:pStyle w:val="Heading3"/>
        <w:numPr>
          <w:ilvl w:val="2"/>
          <w:numId w:val="1"/>
        </w:numPr>
        <w:tabs>
          <w:tab w:val="clear" w:pos="720"/>
        </w:tabs>
        <w:rPr>
          <w:rFonts w:hint="eastAsia"/>
        </w:rPr>
      </w:pPr>
      <w:bookmarkStart w:id="150" w:name="_Toc3626"/>
      <w:bookmarkStart w:id="151" w:name="_Toc382749787"/>
      <w:bookmarkStart w:id="152" w:name="_Toc392853155"/>
      <w:r>
        <w:rPr>
          <w:rFonts w:hint="eastAsia"/>
        </w:rPr>
        <w:t>国有企业创新动力不足</w:t>
      </w:r>
      <w:bookmarkEnd w:id="150"/>
      <w:bookmarkEnd w:id="151"/>
      <w:bookmarkEnd w:id="152"/>
    </w:p>
    <w:p w:rsidR="00CA619C" w:rsidRDefault="00CA619C" w:rsidP="00CA619C">
      <w:pPr>
        <w:ind w:firstLine="480"/>
        <w:rPr>
          <w:rFonts w:ascii="宋体" w:hAnsi="宋体"/>
        </w:rPr>
      </w:pPr>
      <w:r>
        <w:rPr>
          <w:rFonts w:hint="eastAsia"/>
        </w:rPr>
        <w:t>中国能源行业的领先大企业更多大多是国有企业，民营大企业较少。国有企业虽是很多行业的排头兵，但创新动力不足，没有起到国家创新主力和本土中小企业技术成果的集成者作用。民营大企业虽同样应是推动国内创新的重要力量，但受限于规模和能力不足，在国家创新体系中发挥的作用还有限。在华的跨国公司虽然有技术与规模优势，但其主要的研发力量并不在中国，除少数企业将重大研发项目放在中国外，多数跨国公司在华的研发中心的主要任务是工艺改进和产品设计。</w:t>
      </w:r>
      <w:r>
        <w:rPr>
          <w:rFonts w:ascii="宋体" w:hAnsi="宋体" w:hint="eastAsia"/>
        </w:rPr>
        <w:t>爱尔兰等国过度依赖跨国公司虽实现了阶段性繁荣但最终创新乏力的教训说明，重大创新必须更主要地依靠本土公司。</w:t>
      </w:r>
    </w:p>
    <w:p w:rsidR="00CA619C" w:rsidRDefault="00CA619C" w:rsidP="00CA619C">
      <w:pPr>
        <w:ind w:firstLine="480"/>
        <w:rPr>
          <w:rFonts w:hint="eastAsia"/>
        </w:rPr>
      </w:pPr>
      <w:r>
        <w:rPr>
          <w:rFonts w:hint="eastAsia"/>
        </w:rPr>
        <w:t>国有企业是我国创新政策的最大受益者，国家同时希望国有企业能承担实现新技术的商业化，为替其他中国公司提供技术支持的重任。但国有企业在创新中的现实表现却不尽如意，他不仅创新成果不及非国有企业，也没有完全承担起实现新技术商业化和提供主要技术支持的责任。根据世行的统计与分析，与中小企业和民营企业相比，国有企业在将资源转化为专利和创新成果方面的效率相对较低。相比非国有行业的</w:t>
      </w:r>
      <w:r>
        <w:rPr>
          <w:rFonts w:hint="eastAsia"/>
        </w:rPr>
        <w:t>4.56%</w:t>
      </w:r>
      <w:r>
        <w:rPr>
          <w:rFonts w:hint="eastAsia"/>
        </w:rPr>
        <w:t>，国有行业的全要素生产率年增速只有</w:t>
      </w:r>
      <w:r>
        <w:rPr>
          <w:rFonts w:hint="eastAsia"/>
        </w:rPr>
        <w:t>1.52%</w:t>
      </w:r>
      <w:r>
        <w:rPr>
          <w:rStyle w:val="FootnoteReference"/>
          <w:rFonts w:ascii="仿宋" w:eastAsia="仿宋" w:hAnsi="仿宋" w:cs="宋体" w:hint="eastAsia"/>
          <w:color w:val="000000"/>
          <w:kern w:val="0"/>
        </w:rPr>
        <w:footnoteReference w:id="23"/>
      </w:r>
      <w:r>
        <w:rPr>
          <w:rFonts w:hint="eastAsia"/>
        </w:rPr>
        <w:t>。如何理顺国有企业的问题已经成为我国能源领域创新体系面临的一个非常重要的挑战。</w:t>
      </w:r>
    </w:p>
    <w:p w:rsidR="00CA619C" w:rsidRDefault="00CA619C" w:rsidP="00CA619C">
      <w:pPr>
        <w:ind w:firstLine="519"/>
        <w:rPr>
          <w:rFonts w:hint="eastAsia"/>
        </w:rPr>
      </w:pPr>
      <w:r>
        <w:rPr>
          <w:rFonts w:hint="eastAsia"/>
          <w:b/>
        </w:rPr>
        <w:t>导致国有企业创新动力不足的原因是多方面的。</w:t>
      </w:r>
      <w:r>
        <w:rPr>
          <w:rFonts w:hint="eastAsia"/>
        </w:rPr>
        <w:t>首先是以保值增值为主要内容的考核制度更鼓励企业扩张而不鼓励国有企业技术创新，科技创新并不是国有企业考核体系的实质性指标，创新成果更没有与企业管理团队的利益挂钩。由于企业及企业所处的行业的情况都十分复杂，发展有周期，简单地要求企业每年都要比上一年增值，容易造成短期行为，削弱企业长期竞争力。长期以来国有企业技术投入不足、大而不强，与此不无关系。短期“保值增值”的压力助长了企业扩张的欲望，在短期业绩考核的压力下，国企投资方向与民企趋同，重复投资、盲目扩张动机越加强烈。</w:t>
      </w:r>
    </w:p>
    <w:p w:rsidR="00CA619C" w:rsidRDefault="00CA619C" w:rsidP="00CA619C">
      <w:pPr>
        <w:ind w:firstLine="480"/>
        <w:rPr>
          <w:rFonts w:hint="eastAsia"/>
        </w:rPr>
      </w:pPr>
      <w:r>
        <w:rPr>
          <w:rFonts w:hint="eastAsia"/>
        </w:rPr>
        <w:t>其次是内部缺乏激励机制。目前我国的能源中央企业，多数企业彼此之间也是存在激烈竞争的，这些企业来自市场的压力不小于民营企业。但是技术创新最关键的是对人的激励，而央企面临的问题是不能实行国际国内通行的允许科研人员持股的做法，甚至即使之前有人持股，而一旦企业上市，个人股就要全部要退出。</w:t>
      </w:r>
    </w:p>
    <w:p w:rsidR="00CA619C" w:rsidRDefault="00CA619C" w:rsidP="00CA619C">
      <w:pPr>
        <w:ind w:firstLine="480"/>
        <w:rPr>
          <w:rFonts w:hint="eastAsia"/>
        </w:rPr>
      </w:pPr>
      <w:r>
        <w:rPr>
          <w:rFonts w:hint="eastAsia"/>
        </w:rPr>
        <w:t>第三，国有企业缺乏有效的公司治理也制约了其创新行为和创新绩效。由于没有功能完善并实质运行的董事会制度，并且公司实际负责人实质上并不对董事会负责，而是对其上级组织部门和国有资产管理部门负责，而这两个部门并不能真正代表股东利益，这就必然导致公司负责人不太愿去追求企业的长期目标，而技术创新，特别是重大技术创新是需要时间的，也会有很大风险，并且往往是“前人栽树后人乘凉”，因此，现任的国企负责人是在很大程度上缺乏进行重大技术创新动力的，除非他是“奉命创新”，或者他能确保即使创新失败他自己也不会有太大风险时，他才会有创新的动力。</w:t>
      </w:r>
    </w:p>
    <w:p w:rsidR="00CA619C" w:rsidRDefault="00CA619C" w:rsidP="00CA619C">
      <w:pPr>
        <w:pStyle w:val="Heading3"/>
        <w:numPr>
          <w:ilvl w:val="2"/>
          <w:numId w:val="1"/>
        </w:numPr>
        <w:tabs>
          <w:tab w:val="clear" w:pos="720"/>
        </w:tabs>
        <w:rPr>
          <w:rFonts w:hint="eastAsia"/>
        </w:rPr>
      </w:pPr>
      <w:bookmarkStart w:id="153" w:name="_Toc392853156"/>
      <w:r>
        <w:rPr>
          <w:rFonts w:hint="eastAsia"/>
        </w:rPr>
        <w:t>中小企业创新遇到瓶颈，大小企业间缺乏协同创新</w:t>
      </w:r>
      <w:bookmarkEnd w:id="153"/>
    </w:p>
    <w:p w:rsidR="00CA619C" w:rsidRDefault="00CA619C" w:rsidP="00CA619C">
      <w:pPr>
        <w:ind w:firstLine="480"/>
        <w:rPr>
          <w:rFonts w:ascii="宋体" w:hAnsi="宋体"/>
        </w:rPr>
      </w:pPr>
      <w:r>
        <w:rPr>
          <w:rFonts w:ascii="宋体" w:hAnsi="宋体" w:hint="eastAsia"/>
        </w:rPr>
        <w:t>简单地讲“企业是创新主体”还是很模糊的，因为不同类型的企业在创新中扮演的角色不同，各自的创新动力与遇到的问题均不同。技术创新主要源自中小企业，但中小企业的创新成果不一定要自己去产业化，被大企业应用、集成、收购是主要方式，这也是大企业重要的技术来源。</w:t>
      </w:r>
      <w:r>
        <w:rPr>
          <w:rFonts w:hint="eastAsia"/>
        </w:rPr>
        <w:t>然而</w:t>
      </w:r>
      <w:r>
        <w:rPr>
          <w:rFonts w:hint="eastAsia"/>
        </w:rPr>
        <w:t>,</w:t>
      </w:r>
      <w:r>
        <w:rPr>
          <w:rFonts w:hint="eastAsia"/>
        </w:rPr>
        <w:t>由于我国国有企业创新动力不足，没有发挥到成为本土中小企业技术创新成果集成者的作用，使得大量中小企业的创新成果没有应用机会，出现创新“堰塞湖”。</w:t>
      </w:r>
    </w:p>
    <w:p w:rsidR="00CA619C" w:rsidRDefault="00CA619C" w:rsidP="00CA619C">
      <w:pPr>
        <w:ind w:firstLineChars="196" w:firstLine="412"/>
        <w:rPr>
          <w:rFonts w:hint="eastAsia"/>
        </w:rPr>
      </w:pPr>
      <w:r>
        <w:rPr>
          <w:rFonts w:ascii="宋体" w:hAnsi="宋体" w:hint="eastAsia"/>
        </w:rPr>
        <w:t>我国缺乏行业领先大企业，大量中小企业的创新成果没有应用机会，出现创新“堰塞湖”。中国的大企业更多是国有企业，民营大企业较少。如</w:t>
      </w:r>
      <w:r>
        <w:rPr>
          <w:rFonts w:ascii="宋体" w:hAnsi="宋体"/>
        </w:rPr>
        <w:t>2011</w:t>
      </w:r>
      <w:r>
        <w:rPr>
          <w:rFonts w:ascii="宋体" w:hAnsi="宋体" w:hint="eastAsia"/>
        </w:rPr>
        <w:t>年公布的中国企业</w:t>
      </w:r>
      <w:r>
        <w:rPr>
          <w:rFonts w:ascii="宋体" w:hAnsi="宋体"/>
        </w:rPr>
        <w:t>500</w:t>
      </w:r>
      <w:r>
        <w:rPr>
          <w:rFonts w:ascii="宋体" w:hAnsi="宋体" w:hint="eastAsia"/>
        </w:rPr>
        <w:t>强（实际上是按营业收入排序的</w:t>
      </w:r>
      <w:r>
        <w:rPr>
          <w:rFonts w:ascii="宋体" w:hAnsi="宋体"/>
        </w:rPr>
        <w:t>500</w:t>
      </w:r>
      <w:r>
        <w:rPr>
          <w:rFonts w:ascii="宋体" w:hAnsi="宋体" w:hint="eastAsia"/>
        </w:rPr>
        <w:t>大）名单中，国有企业就占了</w:t>
      </w:r>
      <w:r>
        <w:rPr>
          <w:rFonts w:ascii="宋体" w:hAnsi="宋体"/>
        </w:rPr>
        <w:t>316</w:t>
      </w:r>
      <w:r>
        <w:rPr>
          <w:rFonts w:ascii="宋体" w:hAnsi="宋体" w:hint="eastAsia"/>
        </w:rPr>
        <w:t>席。国有企业虽是很多行业的排头兵，但创新动力不足，没有起到国家创新主力和本土中小企业技术成果的集成者作用。民营大企业在</w:t>
      </w:r>
      <w:r>
        <w:rPr>
          <w:rFonts w:ascii="宋体" w:hAnsi="宋体"/>
        </w:rPr>
        <w:t>500</w:t>
      </w:r>
      <w:r>
        <w:rPr>
          <w:rFonts w:ascii="宋体" w:hAnsi="宋体" w:hint="eastAsia"/>
        </w:rPr>
        <w:t>强中排名多靠后，其虽应是推动国内创新的重要力量，但受限于规模和能力不足，在国家创新体系中发挥的作用还有限。</w:t>
      </w:r>
      <w:r>
        <w:rPr>
          <w:rFonts w:hint="eastAsia"/>
        </w:rPr>
        <w:t>小型企业不具备进行必要的研发投资的能力，但是具备技术和经济能力的大型能源企业可能没有进行研发投资的动机。</w:t>
      </w:r>
    </w:p>
    <w:p w:rsidR="00CA619C" w:rsidRDefault="00CA619C" w:rsidP="00CA619C">
      <w:pPr>
        <w:ind w:firstLineChars="196" w:firstLine="412"/>
        <w:rPr>
          <w:rFonts w:hint="eastAsia"/>
        </w:rPr>
      </w:pPr>
      <w:r>
        <w:rPr>
          <w:rFonts w:hint="eastAsia"/>
        </w:rPr>
        <w:t>我国能源产业特别是新兴能源产业很多中小企业从初创、研发、中试、产品上市的各个发展阶段都遇到了融资、人才等瓶颈，在产业化阶段更是困难重重。如在产业化阶段，中小企业的创新很多时候会遇到技术不完善、生产达不到规模效益、配套设施和服务体系跟不上、商业模式不成熟、市场认同度较低等问题，进而形成信任瓶颈、资金瓶颈、制度瓶颈和市场瓶颈，企业则会因为无法克服这些瓶颈而中途夭折。小企业由于自身能力不足，采用联合研发等方式被国际证明是有效的，但在我国能源产业的实践中，国内很多由政府推动形成产业联盟、技术联合等并没有实质运作，其中一些变成了只供用来联合申报国家项目的平台。</w:t>
      </w:r>
    </w:p>
    <w:p w:rsidR="00CA619C" w:rsidRDefault="00CA619C" w:rsidP="00CA619C">
      <w:pPr>
        <w:pStyle w:val="Heading2"/>
        <w:tabs>
          <w:tab w:val="clear" w:pos="575"/>
          <w:tab w:val="left" w:pos="432"/>
        </w:tabs>
        <w:rPr>
          <w:rFonts w:hint="eastAsia"/>
        </w:rPr>
      </w:pPr>
      <w:bookmarkStart w:id="154" w:name="_Toc382749796"/>
      <w:bookmarkStart w:id="155" w:name="_Toc392853157"/>
      <w:r>
        <w:rPr>
          <w:rFonts w:hint="eastAsia"/>
        </w:rPr>
        <w:t>技术创新支撑体系存在的问题</w:t>
      </w:r>
      <w:bookmarkEnd w:id="154"/>
      <w:bookmarkEnd w:id="155"/>
    </w:p>
    <w:p w:rsidR="00CA619C" w:rsidRDefault="00CA619C" w:rsidP="00CA619C">
      <w:pPr>
        <w:pStyle w:val="Heading3"/>
        <w:numPr>
          <w:ilvl w:val="2"/>
          <w:numId w:val="1"/>
        </w:numPr>
        <w:tabs>
          <w:tab w:val="clear" w:pos="720"/>
        </w:tabs>
        <w:rPr>
          <w:rFonts w:hint="eastAsia"/>
        </w:rPr>
      </w:pPr>
      <w:bookmarkStart w:id="156" w:name="_Toc2509"/>
      <w:bookmarkStart w:id="157" w:name="_Toc382749789"/>
      <w:bookmarkStart w:id="158" w:name="_Toc392853158"/>
      <w:r>
        <w:rPr>
          <w:rFonts w:hint="eastAsia"/>
        </w:rPr>
        <w:t>政府主导的方式遏制了企业创新</w:t>
      </w:r>
      <w:bookmarkEnd w:id="156"/>
      <w:bookmarkEnd w:id="157"/>
      <w:bookmarkEnd w:id="158"/>
    </w:p>
    <w:p w:rsidR="00CA619C" w:rsidRDefault="00CA619C" w:rsidP="00CA619C">
      <w:pPr>
        <w:widowControl/>
        <w:ind w:firstLine="480"/>
        <w:jc w:val="left"/>
        <w:rPr>
          <w:rFonts w:hint="eastAsia"/>
        </w:rPr>
      </w:pPr>
      <w:r>
        <w:rPr>
          <w:rFonts w:hint="eastAsia"/>
        </w:rPr>
        <w:t>能源产业尤其是新兴能源产业技术创新具有较大的风险和不确定性，比较适合以企业为主体进行分散决策。试图“弯道超车”</w:t>
      </w:r>
      <w:r>
        <w:t>的政府主导、</w:t>
      </w:r>
      <w:r>
        <w:rPr>
          <w:rFonts w:hint="eastAsia"/>
        </w:rPr>
        <w:t>计划审批、</w:t>
      </w:r>
      <w:r>
        <w:t>集中决策、集中配置资源</w:t>
      </w:r>
      <w:r>
        <w:rPr>
          <w:rFonts w:hint="eastAsia"/>
        </w:rPr>
        <w:t>、</w:t>
      </w:r>
      <w:r>
        <w:t>进行经济性管制</w:t>
      </w:r>
      <w:r>
        <w:rPr>
          <w:rFonts w:hint="eastAsia"/>
        </w:rPr>
        <w:t>等</w:t>
      </w:r>
      <w:r>
        <w:t>办法，</w:t>
      </w:r>
      <w:r>
        <w:rPr>
          <w:rFonts w:hint="eastAsia"/>
        </w:rPr>
        <w:t>不利于能源产业的技术创新</w:t>
      </w:r>
      <w:r>
        <w:t>。</w:t>
      </w:r>
    </w:p>
    <w:p w:rsidR="00CA619C" w:rsidRDefault="00CA619C" w:rsidP="00CA619C">
      <w:pPr>
        <w:widowControl/>
        <w:ind w:firstLine="480"/>
        <w:jc w:val="left"/>
        <w:rPr>
          <w:rFonts w:hint="eastAsia"/>
        </w:rPr>
      </w:pPr>
      <w:r>
        <w:rPr>
          <w:rFonts w:hint="eastAsia"/>
        </w:rPr>
        <w:t>例如很典型的光伏产业，我国光伏产业在前些年一片坦途的时候，由于利润非常高，而门槛又很低，导致地方政府无不想大力发展这个新兴产业，给出很多土地、税收、银贷方面的优惠政策，全国各地的光伏开发区、产业园遍地开花。“大上快上”的招商政策导致了光伏企业一哄而上，盲目建设、粗放扩张引发产能严重过剩。目前，国家的补贴政策，也大多装进了电站项目开发商的腰包，上游制造企业受益有限，并不能对基础研发起到带动作用。这样一来，虽然光伏产业中游创新不断，但多晶硅提纯的核心技术被外国掌握，下游市场应用推广较少，技术创新步伐进展缓慢，整体缺少自主创新能力。</w:t>
      </w:r>
    </w:p>
    <w:p w:rsidR="00CA619C" w:rsidRDefault="00CA619C" w:rsidP="00CA619C">
      <w:pPr>
        <w:widowControl/>
        <w:ind w:firstLine="480"/>
        <w:jc w:val="left"/>
        <w:rPr>
          <w:rFonts w:hint="eastAsia"/>
        </w:rPr>
      </w:pPr>
      <w:bookmarkStart w:id="159" w:name="_Toc12126"/>
      <w:bookmarkStart w:id="160" w:name="_Toc382749790"/>
      <w:r>
        <w:rPr>
          <w:rFonts w:ascii="宋体" w:hAnsi="宋体" w:hint="eastAsia"/>
        </w:rPr>
        <w:t>同时，创新具有风险和不确定性，只能以企业为主体，分散决策。用赶超阶段的政府主导、计划审批、集中决策、集中配置资源、进行经济性管制等办法，很难实现创新驱动的经济发展。</w:t>
      </w:r>
      <w:r>
        <w:rPr>
          <w:rFonts w:hint="eastAsia"/>
        </w:rPr>
        <w:t>虽然政府对于技术创新方向引导方面具有一定的积极作用，但由于政府不掌握技术、也不会承担市场风险，在缺乏必要的信息支持、无法准确预知未来的情况下，政府主导做什么或不做什么，都会带有很大的盲目性，鼓动或限制企业投资，都会使资源错配；把企业的创新活动框在一个地方政府的规划之中，必然抑制创新；由企业申报、政府部门选定研发项目、分配资助资金，并对成果进行评估、鉴定、表彰的做法，使企业的创新不是追踪市场，而是被政府牵着走；政府选择特定企业进行产业化支持，容易让政府被企业绑架，也会限制新的进入者。</w:t>
      </w:r>
    </w:p>
    <w:p w:rsidR="00CA619C" w:rsidRDefault="00CA619C" w:rsidP="00CA619C">
      <w:pPr>
        <w:widowControl/>
        <w:ind w:firstLine="480"/>
        <w:jc w:val="left"/>
        <w:rPr>
          <w:rFonts w:hint="eastAsia"/>
        </w:rPr>
      </w:pPr>
      <w:r>
        <w:rPr>
          <w:rFonts w:hint="eastAsia"/>
        </w:rPr>
        <w:t>其根本原因还在于政府与市场的关系没有完全理顺。受传统计划经济体制和当前经济发展阶段的影响，政府在支持企业科技创新方面越位和缺位并存。一方面，正如上所说，政府对企业技术创新过度干预，不利于企业成为真正的技术创新主体。另一方面，政府在为企业营造良好的创新环境方面着力不够，基础生产要素价格扭曲，市场竞争不规范、不充分，知识产权保护不力，产业和融资环境较差，创新人才缺乏，影响了企业创新的动力、能力和绩效。</w:t>
      </w:r>
    </w:p>
    <w:p w:rsidR="00CA619C" w:rsidRDefault="00CA619C" w:rsidP="00CA619C">
      <w:pPr>
        <w:widowControl/>
        <w:ind w:firstLineChars="196" w:firstLine="412"/>
        <w:textAlignment w:val="baseline"/>
        <w:rPr>
          <w:rFonts w:ascii="宋体" w:hAnsi="宋体"/>
        </w:rPr>
      </w:pPr>
      <w:r>
        <w:rPr>
          <w:rFonts w:ascii="宋体" w:hAnsi="宋体" w:hint="eastAsia"/>
        </w:rPr>
        <w:t>此外，由于政府控制更多的资源与审批，导致企业受到来自政府的过多干预，创新活力不足。如在工商登记、投资体制、项目审批、市场准入、检查评比等方面，企业会遇到非常多的审批。以工商为例，企业的设立要经名称核准、设立登记、验资、办理营业执照、印章、代码证、税务登记、获取验资证明、统计登记和社保登记等</w:t>
      </w:r>
      <w:r>
        <w:rPr>
          <w:rFonts w:ascii="宋体" w:hAnsi="宋体"/>
        </w:rPr>
        <w:t>12</w:t>
      </w:r>
      <w:r>
        <w:rPr>
          <w:rFonts w:ascii="宋体" w:hAnsi="宋体" w:hint="eastAsia"/>
        </w:rPr>
        <w:t>个以上流程和审批，涉及工商、税务、质检、公安、审计、统计、劳动等</w:t>
      </w:r>
      <w:r>
        <w:rPr>
          <w:rFonts w:ascii="宋体" w:hAnsi="宋体"/>
        </w:rPr>
        <w:t>7</w:t>
      </w:r>
      <w:r>
        <w:rPr>
          <w:rFonts w:ascii="宋体" w:hAnsi="宋体" w:hint="eastAsia"/>
        </w:rPr>
        <w:t>个以上部门。国有独资、外资企业和经营范围涉及许可的还需履行额外的审批。企业名称、住所、法定代表人、资本、经营范围等任何一项变更，都需进行工商审查和办理变更。有的企业一年需要更换几十次登记册。过于繁琐的审批，抑制了市场作用和创新人员积极性。</w:t>
      </w:r>
    </w:p>
    <w:p w:rsidR="00CA619C" w:rsidRDefault="00CA619C" w:rsidP="00CA619C">
      <w:pPr>
        <w:pStyle w:val="Heading3"/>
        <w:numPr>
          <w:ilvl w:val="2"/>
          <w:numId w:val="1"/>
        </w:numPr>
        <w:tabs>
          <w:tab w:val="clear" w:pos="720"/>
        </w:tabs>
        <w:rPr>
          <w:rFonts w:hint="eastAsia"/>
        </w:rPr>
      </w:pPr>
      <w:bookmarkStart w:id="161" w:name="_Toc392853159"/>
      <w:r>
        <w:rPr>
          <w:rFonts w:hint="eastAsia"/>
        </w:rPr>
        <w:t>行政化和官本位导致大学、研究机构创新能力不足</w:t>
      </w:r>
      <w:bookmarkEnd w:id="159"/>
      <w:bookmarkEnd w:id="160"/>
      <w:bookmarkEnd w:id="161"/>
    </w:p>
    <w:p w:rsidR="00CA619C" w:rsidRDefault="00CA619C" w:rsidP="00CA619C">
      <w:pPr>
        <w:widowControl/>
        <w:ind w:firstLine="480"/>
        <w:jc w:val="left"/>
        <w:rPr>
          <w:rFonts w:hint="eastAsia"/>
        </w:rPr>
      </w:pPr>
      <w:r>
        <w:rPr>
          <w:rFonts w:hint="eastAsia"/>
        </w:rPr>
        <w:t>前述“</w:t>
      </w:r>
      <w:r>
        <w:rPr>
          <w:rFonts w:hint="eastAsia"/>
        </w:rPr>
        <w:t>4.1.2</w:t>
      </w:r>
      <w:r>
        <w:rPr>
          <w:rFonts w:hint="eastAsia"/>
        </w:rPr>
        <w:t>创新供给条件不足”章节已经明确指出我国的教育与人才体制滞后问题。</w:t>
      </w:r>
    </w:p>
    <w:p w:rsidR="00CA619C" w:rsidRDefault="00CA619C" w:rsidP="00CA619C">
      <w:pPr>
        <w:widowControl/>
        <w:ind w:firstLine="480"/>
        <w:jc w:val="left"/>
        <w:rPr>
          <w:rFonts w:hint="eastAsia"/>
        </w:rPr>
      </w:pPr>
      <w:r>
        <w:rPr>
          <w:rFonts w:hint="eastAsia"/>
        </w:rPr>
        <w:t>学术行政化制约了创新人才发展。在办学模式上对教育的行政干预过多，形成了自上而下的行政主导型管理体制。在大学里，学校通过行政力量对大学教学质量进行监管与评估，依靠行政手段抓质量，通过一些量化指标来衡量。学术行政化以及外部各种干扰严重影响科技创新人才潜心研究，而且科研机构和科研人员的评价标准和导向存在偏差，学术成为权力的附庸，高校中的学术活动浮躁，难以形成鼓励科研人才专心从事科研工作的学术环境，以致难以产生高水平的创新成果。这与前述创新供给条件不足的问题是一致的，导致我们的大学和研究机构等很难提供给企业基础性的、原创性的技术。这些机构必须进行改革，消除行政化和官本位的弊病，从而成为真正的科学研究主体，独立进行研究工作，按科学规律评价研究成果。</w:t>
      </w:r>
    </w:p>
    <w:p w:rsidR="00CA619C" w:rsidRDefault="00CA619C" w:rsidP="00CA619C">
      <w:pPr>
        <w:pStyle w:val="Heading3"/>
        <w:numPr>
          <w:ilvl w:val="2"/>
          <w:numId w:val="1"/>
        </w:numPr>
        <w:tabs>
          <w:tab w:val="clear" w:pos="720"/>
        </w:tabs>
        <w:rPr>
          <w:rFonts w:hint="eastAsia"/>
        </w:rPr>
      </w:pPr>
      <w:bookmarkStart w:id="162" w:name="_Toc4895"/>
      <w:bookmarkStart w:id="163" w:name="_Toc382749791"/>
      <w:bookmarkStart w:id="164" w:name="_Toc392853160"/>
      <w:r>
        <w:rPr>
          <w:rFonts w:hint="eastAsia"/>
        </w:rPr>
        <w:t>体制分割阻碍创新</w:t>
      </w:r>
      <w:bookmarkEnd w:id="162"/>
      <w:bookmarkEnd w:id="163"/>
      <w:bookmarkEnd w:id="164"/>
    </w:p>
    <w:p w:rsidR="00CA619C" w:rsidRDefault="00CA619C" w:rsidP="00CA619C">
      <w:pPr>
        <w:ind w:firstLine="480"/>
        <w:rPr>
          <w:rFonts w:hint="eastAsia"/>
        </w:rPr>
      </w:pPr>
      <w:r>
        <w:rPr>
          <w:rFonts w:hint="eastAsia"/>
        </w:rPr>
        <w:t>目前体制分割的问题仍然困扰着我国能源产业技术创新的发展。企业按所有制和隶属关系被分成了“三六九等”，在我国能源产业中，国有企业处于绝对强势地位。一是它属“体制内”，有“行政级别”和从政府那里获得稀缺资源的优势。如获得土地等自然资源，获得电力特许经营权，获得政府投资项目的能力也最强。二是可以方便地获得银行贷款。银行贷款大多贷给国有企业，民营企业贷款极其困难。三是国企在能源上游产业、基础服务业形成寡头垄断，获得超额利润。四是即便在某几个稍具竞争性的领域，也有市场准入和行政审批两道门槛。能源产业的准入条件往往为大型企业“量身定制”，而行政审批则和与政府的亲疏程度相关。很多民营企业因此被挡在门外，称此为“玻璃门”。五是政府承担了过多的建设职能，在既有国企之外，通过“融资平台”又建立了一批国有企业，在基础设施等领域不少民营企业被挤了出去。</w:t>
      </w:r>
    </w:p>
    <w:p w:rsidR="00CA619C" w:rsidRDefault="00CA619C" w:rsidP="00CA619C">
      <w:pPr>
        <w:ind w:firstLine="480"/>
        <w:rPr>
          <w:rFonts w:hint="eastAsia"/>
        </w:rPr>
      </w:pPr>
      <w:r>
        <w:rPr>
          <w:rFonts w:hint="eastAsia"/>
        </w:rPr>
        <w:t>近年来，跨所有制的壁垒、大企业与中小企业的割裂有上升的趋势。一些能源行业垄断企业自行扩展垄断链条，国有企业更倾向于在体制内部建立产业联盟，形成配套。如电网企业把“网”的天然垄断性延伸到输变电装备、施工、电缆。一些大企业在研发和创新方面，也倾向搞封闭式、大而全、不求人。大企业往往是中小企业创新产品和技术转化成果的市场，这个市场空间没有很好放开，致使中小企业的发展空间受限；大企业与中小企业合作互补的局面未能很好形成，导致创新体系的结构性低效率。不仅使大企业创新成本上升、周期加长，也迫使小企业做长产业链，招致创新创业的成功率下降。</w:t>
      </w:r>
    </w:p>
    <w:p w:rsidR="00CA619C" w:rsidRDefault="00CA619C" w:rsidP="00CA619C">
      <w:pPr>
        <w:ind w:firstLine="480"/>
        <w:rPr>
          <w:rFonts w:hint="eastAsia"/>
        </w:rPr>
      </w:pPr>
      <w:r>
        <w:rPr>
          <w:rFonts w:hint="eastAsia"/>
        </w:rPr>
        <w:t>例如，我国新能源和分布式能源上网困难主要是体制性问题。我国油气管网设施与输电网络均由国有企业垄断经营，尚未对社会开放。一方面，由于缺乏管网设施，页岩气开采面临困难，而电网企业接纳新能源和分布式能源发展也积极性也有限，导致新能源和分布式能源发展严重受阻；另一方面，新技术在能源行业应用中也经常碰到层层壁垒，如民营企业生产的生物燃料在油品掺烧中受到垄断企业制约，民营企业的电力设备新产品、新技术难以进入电网体系等。</w:t>
      </w:r>
    </w:p>
    <w:p w:rsidR="00CA619C" w:rsidRDefault="00CA619C" w:rsidP="00CA619C">
      <w:pPr>
        <w:ind w:firstLine="480"/>
        <w:rPr>
          <w:rFonts w:ascii="仿宋" w:eastAsia="仿宋" w:hAnsi="仿宋" w:cs="宋体" w:hint="eastAsia"/>
          <w:color w:val="000000"/>
          <w:kern w:val="0"/>
          <w:szCs w:val="28"/>
        </w:rPr>
      </w:pPr>
      <w:r>
        <w:rPr>
          <w:rFonts w:hint="eastAsia"/>
        </w:rPr>
        <w:t>此外，能源技术创新的垄断还体现在大型能源国有企业垄断创新研发资源，如各行业研究院所基本被国有企业垄断，封闭严重不仅使其本身创新动力不强，而且严重导致非体制内企业难以获得创新资源共享和公平的服务。例如，对于民营企业的电力设备新产品、新技术难以进入电网体系的问题。目前，我国研发生产风电功率预测系统的主体有中国电科院与东润环能、国电南自、华北电力大学、</w:t>
      </w:r>
      <w:r>
        <w:rPr>
          <w:rFonts w:hint="eastAsia"/>
        </w:rPr>
        <w:t>IBM</w:t>
      </w:r>
      <w:r>
        <w:rPr>
          <w:rFonts w:hint="eastAsia"/>
        </w:rPr>
        <w:t>中国研究院等，而中国电科院与东润环能属于国家电网公司的下属企业，东润环能凭借与电科院携手推出</w:t>
      </w:r>
      <w:r>
        <w:rPr>
          <w:rFonts w:hint="eastAsia"/>
        </w:rPr>
        <w:t>WPFS VER1.0</w:t>
      </w:r>
      <w:r>
        <w:rPr>
          <w:rFonts w:hint="eastAsia"/>
        </w:rPr>
        <w:t>，加上国电南自几乎占据了整个市场。而华北电力大学的产品在</w:t>
      </w:r>
      <w:r>
        <w:rPr>
          <w:rFonts w:hint="eastAsia"/>
        </w:rPr>
        <w:t>2010</w:t>
      </w:r>
      <w:r>
        <w:rPr>
          <w:rFonts w:hint="eastAsia"/>
        </w:rPr>
        <w:t>年</w:t>
      </w:r>
      <w:r>
        <w:rPr>
          <w:rFonts w:hint="eastAsia"/>
        </w:rPr>
        <w:t>7</w:t>
      </w:r>
      <w:r>
        <w:rPr>
          <w:rFonts w:hint="eastAsia"/>
        </w:rPr>
        <w:t>月</w:t>
      </w:r>
      <w:r>
        <w:rPr>
          <w:rFonts w:hint="eastAsia"/>
        </w:rPr>
        <w:t>4</w:t>
      </w:r>
      <w:r>
        <w:rPr>
          <w:rFonts w:hint="eastAsia"/>
        </w:rPr>
        <w:t>日，只是通过了由河北省科技成果转化服务中心组织的专家鉴定。电科院的</w:t>
      </w:r>
      <w:r>
        <w:rPr>
          <w:rFonts w:hint="eastAsia"/>
        </w:rPr>
        <w:t>WPFS VER1.0</w:t>
      </w:r>
      <w:r>
        <w:rPr>
          <w:rFonts w:hint="eastAsia"/>
        </w:rPr>
        <w:t>则是通过了国家电网公司组织的验收，对于风电场唯一客户的电网公司，两者的市场影响力差距之大不言而喻。东润环能与电科院合作，采用的所有参数获得了电网公司的认可，如果用国内其他企业的产品，会存在参数不兼容的后果，如果用国外公司的产品，会存在泄漏我国电力机密的风险，政策上可能不允许。</w:t>
      </w:r>
      <w:r>
        <w:rPr>
          <w:rStyle w:val="FootnoteReference"/>
          <w:rFonts w:hint="eastAsia"/>
        </w:rPr>
        <w:footnoteReference w:id="24"/>
      </w:r>
    </w:p>
    <w:p w:rsidR="00CA619C" w:rsidRDefault="00CA619C" w:rsidP="00CA619C">
      <w:pPr>
        <w:pStyle w:val="Heading3"/>
        <w:numPr>
          <w:ilvl w:val="2"/>
          <w:numId w:val="1"/>
        </w:numPr>
        <w:tabs>
          <w:tab w:val="clear" w:pos="720"/>
        </w:tabs>
        <w:rPr>
          <w:rFonts w:hint="eastAsia"/>
        </w:rPr>
      </w:pPr>
      <w:bookmarkStart w:id="165" w:name="_Toc392853161"/>
      <w:r>
        <w:rPr>
          <w:rFonts w:hint="eastAsia"/>
        </w:rPr>
        <w:t>技术创新服务体系滞后</w:t>
      </w:r>
      <w:bookmarkEnd w:id="165"/>
    </w:p>
    <w:p w:rsidR="00CA619C" w:rsidRDefault="00CA619C" w:rsidP="00CA619C">
      <w:pPr>
        <w:ind w:firstLine="480"/>
        <w:rPr>
          <w:rFonts w:hint="eastAsia"/>
        </w:rPr>
      </w:pPr>
      <w:r>
        <w:rPr>
          <w:rFonts w:hint="eastAsia"/>
        </w:rPr>
        <w:t>企业在创新的不同环节应得到不同金融和资本工具的支持，如在初创期，其外部资金来源主要是天使投资和风险投资，一些竞争前的技术研发往往还会得到政府资金的支持。在快要或者进入产业化阶段，外部资金则主要靠私募基金、银行支持，这个时候也可通过资本市场进行融资。在成熟期，则更多地是利用银行、资本市场来融资，对一些关系国家战略的技术研发和产业化推进，也可由政府出资金进行支持。但由于我国风险投资、私募基金等仍不发达，对能源产业技术创新的支持更是远远满足不了创新实践需求，很多风险投资不愿“冒风险”，投早期项目的少，一些私募基金更喜欢“临门一脚”的项目，在企业快要上市时争相进入，上市后快速套现，缺乏对企业的稳定支持。尽管现在私募资金较多，但在创新技术处于关键研发以及进入产业化的重要阶段，很多创新企业往往苦于找不到资金支持而导致创新被迫中断。</w:t>
      </w:r>
    </w:p>
    <w:p w:rsidR="00CA619C" w:rsidRDefault="00CA619C" w:rsidP="00CA619C">
      <w:pPr>
        <w:ind w:firstLine="480"/>
      </w:pPr>
      <w:r>
        <w:rPr>
          <w:rFonts w:hint="eastAsia"/>
        </w:rPr>
        <w:t>创新服务业未能有效顺畅地与创新活动结合。创新服务业有助于打通创新链条，如技术交易市场、股权交易市场、猎头公司等，可使不同成熟度的创新成果可以在市场上变现，使买方可以在市场上方便地获得所需的创新资源。同时，依托市场化、专业化的金融服务、技术服务、人才服务的支撑与撮合，众多创业者和科技型中小企业围绕高校而生，他们吸纳高校科研活动的扩散效应，吸引高校流出的人才，并发挥创新企业的集聚效应，开展创新转化活动，形成可形成一条强有力的创新结合纽带。而我国创新服务业还存在很多问题，其发展仍受制于一些体制和政策障碍。全国各地建了很多技术交易市场，但多数并不活跃，很多技术交易市场功能单一，交易主体不多，还没有更好地发挥出价格发现、促进技术转让的功能。服务于创新的股权交易市场还刚刚起步，过去各地建立的许多产权交易市场更多是服务于企业改制重组的，其服务创新的功能不强。全国性的股权交易市场的交易规模仍较小，其发展定位和交易规则还处于探索中，企业期盼的类似于美国的“场外市场”，在国内还没有真正运转起来，一些地方的先行试验进展仍缓慢。由于我国高校与科研机构改革仍滞后，通过人才流动而促进成果转化、围绕高校形成创新创业集聚区等创新模式在中国走得仍较艰难，</w:t>
      </w:r>
      <w:r>
        <w:rPr>
          <w:rFonts w:ascii="宋体" w:hAnsi="宋体" w:hint="eastAsia"/>
        </w:rPr>
        <w:t>中国还很难出现硅谷这样的创新地。</w:t>
      </w:r>
    </w:p>
    <w:p w:rsidR="00CA619C" w:rsidRDefault="00CA619C" w:rsidP="00CA619C">
      <w:pPr>
        <w:pStyle w:val="Heading3"/>
        <w:numPr>
          <w:ilvl w:val="2"/>
          <w:numId w:val="1"/>
        </w:numPr>
        <w:tabs>
          <w:tab w:val="clear" w:pos="720"/>
        </w:tabs>
        <w:rPr>
          <w:rFonts w:hint="eastAsia"/>
        </w:rPr>
      </w:pPr>
      <w:bookmarkStart w:id="166" w:name="_Toc12975"/>
      <w:bookmarkStart w:id="167" w:name="_Toc382749792"/>
      <w:bookmarkStart w:id="168" w:name="_Toc392853162"/>
      <w:r>
        <w:rPr>
          <w:rFonts w:hint="eastAsia"/>
        </w:rPr>
        <w:t>技术标准不健全</w:t>
      </w:r>
      <w:bookmarkEnd w:id="166"/>
      <w:bookmarkEnd w:id="167"/>
      <w:bookmarkEnd w:id="168"/>
    </w:p>
    <w:p w:rsidR="00CA619C" w:rsidRDefault="00CA619C" w:rsidP="00CA619C">
      <w:pPr>
        <w:ind w:firstLine="480"/>
        <w:rPr>
          <w:rFonts w:hint="eastAsia"/>
        </w:rPr>
      </w:pPr>
      <w:r>
        <w:rPr>
          <w:rFonts w:hint="eastAsia"/>
        </w:rPr>
        <w:t>技术标准对于引导产业技术进步起着十分重要的作用。目前，中国一些新兴能源产业技术标准滞后，部分行业节能环保标准相对较低，且存在标准执行不严的现象，不利于技术创新。</w:t>
      </w:r>
    </w:p>
    <w:p w:rsidR="00CA619C" w:rsidRDefault="00CA619C" w:rsidP="00CA619C">
      <w:pPr>
        <w:ind w:firstLine="480"/>
        <w:rPr>
          <w:rFonts w:hint="eastAsia"/>
        </w:rPr>
      </w:pPr>
      <w:r>
        <w:rPr>
          <w:rFonts w:hint="eastAsia"/>
        </w:rPr>
        <w:t>例如：在页岩气产业，虽然页岩气标准化技术委员会已成立，但相关标准体系并未建立，其近期工作目标是通过</w:t>
      </w:r>
      <w:r>
        <w:rPr>
          <w:rFonts w:hint="eastAsia"/>
        </w:rPr>
        <w:t>3</w:t>
      </w:r>
      <w:r>
        <w:rPr>
          <w:rFonts w:hint="eastAsia"/>
        </w:rPr>
        <w:t>至</w:t>
      </w:r>
      <w:r>
        <w:rPr>
          <w:rFonts w:hint="eastAsia"/>
        </w:rPr>
        <w:t>5</w:t>
      </w:r>
      <w:r>
        <w:rPr>
          <w:rFonts w:hint="eastAsia"/>
        </w:rPr>
        <w:t>年努力，基本建成国内页岩气全产业链标准体系。而《页岩气产业政策》规定页岩气勘探开发生产活动必须符合现行页岩气相关技术标准和规范，因此，标准的缺失也必然会影响到现阶段的页岩气产业技术创新。</w:t>
      </w:r>
    </w:p>
    <w:p w:rsidR="00CA619C" w:rsidRDefault="00CA619C" w:rsidP="00CA619C">
      <w:pPr>
        <w:ind w:firstLine="480"/>
        <w:rPr>
          <w:rFonts w:hint="eastAsia"/>
        </w:rPr>
      </w:pPr>
      <w:r>
        <w:rPr>
          <w:rFonts w:hint="eastAsia"/>
        </w:rPr>
        <w:t>我国光伏标准规范体系虽然基本形成，现行和在研光伏标准数量达到一定规模，基本覆盖了光伏产业的主流产品，但也存在一些问题，比如标准制修订速度过慢。虽然一些光伏行业急需的标准经过努力已获得成功立项，但是由于标准研制周期过长，不能及时发布实施为行业所用，往往在一定时期内表现为产业标准缺失。</w:t>
      </w:r>
    </w:p>
    <w:p w:rsidR="00CA619C" w:rsidRDefault="00CA619C" w:rsidP="00CA619C">
      <w:pPr>
        <w:ind w:firstLine="480"/>
        <w:rPr>
          <w:rFonts w:hint="eastAsia"/>
        </w:rPr>
      </w:pPr>
      <w:r>
        <w:rPr>
          <w:rFonts w:hint="eastAsia"/>
        </w:rPr>
        <w:t>我国在风电发展的初期时，由于风机制造标准缺失，风机制造门槛儿低。我国风电采用的风机制造厂商众多、品牌众多。由于标准的缺失，导致</w:t>
      </w:r>
      <w:r>
        <w:rPr>
          <w:rFonts w:hint="eastAsia"/>
        </w:rPr>
        <w:t>2009</w:t>
      </w:r>
      <w:r>
        <w:rPr>
          <w:rFonts w:hint="eastAsia"/>
        </w:rPr>
        <w:t>年以前生产的风机基本上没有低电压穿越、高电压穿越这些常规发电机组都有的功能。而且风电厂既没有控制系统，也不和调度相连，互相信息不通，风机不可控、不可测。既给系统安全运行带来隐患，也给风电厂自身的效益带来很大的影响，并直接导致了</w:t>
      </w:r>
      <w:r>
        <w:rPr>
          <w:rFonts w:hint="eastAsia"/>
        </w:rPr>
        <w:t>2011</w:t>
      </w:r>
      <w:r>
        <w:rPr>
          <w:rFonts w:hint="eastAsia"/>
        </w:rPr>
        <w:t>年多起大面积脱网事故的发生。目前中国新兴能源产业呈“爆发式”增长，很多产品从研制到批量生产周期太短，产品研制中的问题在批量生产之前没有充分暴露和有效解决，加上标准缺失、未经严格检测就被大量投放市场，有可能出现大面积设备故障，造成重大损失。</w:t>
      </w:r>
    </w:p>
    <w:p w:rsidR="00CA619C" w:rsidRDefault="00CA619C" w:rsidP="00CA619C">
      <w:pPr>
        <w:pStyle w:val="Heading3"/>
        <w:numPr>
          <w:ilvl w:val="2"/>
          <w:numId w:val="1"/>
        </w:numPr>
        <w:tabs>
          <w:tab w:val="clear" w:pos="720"/>
        </w:tabs>
        <w:rPr>
          <w:rFonts w:hint="eastAsia"/>
        </w:rPr>
      </w:pPr>
      <w:bookmarkStart w:id="169" w:name="_Toc22254"/>
      <w:bookmarkStart w:id="170" w:name="_Toc382749794"/>
      <w:bookmarkStart w:id="171" w:name="_Toc392853163"/>
      <w:r>
        <w:rPr>
          <w:rFonts w:hint="eastAsia"/>
        </w:rPr>
        <w:t>能源技术创新政策有待完善</w:t>
      </w:r>
      <w:bookmarkEnd w:id="169"/>
      <w:bookmarkEnd w:id="170"/>
      <w:bookmarkEnd w:id="171"/>
    </w:p>
    <w:p w:rsidR="00CA619C" w:rsidRDefault="00CA619C" w:rsidP="00CA619C">
      <w:pPr>
        <w:ind w:firstLine="480"/>
        <w:rPr>
          <w:rFonts w:hint="eastAsia"/>
        </w:rPr>
      </w:pPr>
      <w:r>
        <w:rPr>
          <w:rFonts w:hint="eastAsia"/>
        </w:rPr>
        <w:t>虽然我国已出台的能源技术政策非常繁多，但多数政策并不完善也并不规范，政策效应难以得到体现。而且重大政策缺乏深入研究和论证，技术路线和政策变化无常。</w:t>
      </w:r>
      <w:r>
        <w:t>促进科技创新的财税政策不健全，技术与产业政策法规之间协调性差，执行不力</w:t>
      </w:r>
      <w:r>
        <w:rPr>
          <w:rFonts w:hint="eastAsia"/>
        </w:rPr>
        <w:t>。</w:t>
      </w:r>
    </w:p>
    <w:p w:rsidR="00CA619C" w:rsidRDefault="00CA619C" w:rsidP="00CA619C">
      <w:pPr>
        <w:ind w:firstLine="480"/>
        <w:rPr>
          <w:rFonts w:hint="eastAsia"/>
        </w:rPr>
      </w:pPr>
      <w:r>
        <w:rPr>
          <w:rFonts w:hint="eastAsia"/>
        </w:rPr>
        <w:t>例如，目前可再生能源发电全额保障收购的实施细则尚未出台，可再生能源发展缺乏足够保障和激励；对低碳能源开发的激励政策只侧重于发电环节，对输电、常规电源辅助激励不足，特别是对其他电源为可再生能源发电提供辅助服务（调峰、调频等）还没有建立起完善的定价和补偿机制（如储能电价补偿机制等），对建立创新科研组织的引导不足，尤其是支持产业联盟对共性技术和关键零部件的国产化扶持以及能源技术成果大规模市场运用方面政策缺失等，这些都不利于能源技术创新和新兴能源产业快速发展。</w:t>
      </w:r>
    </w:p>
    <w:p w:rsidR="00CA619C" w:rsidRDefault="00CA619C" w:rsidP="00CA619C">
      <w:pPr>
        <w:pStyle w:val="Heading3"/>
        <w:numPr>
          <w:ilvl w:val="2"/>
          <w:numId w:val="1"/>
        </w:numPr>
        <w:tabs>
          <w:tab w:val="clear" w:pos="720"/>
        </w:tabs>
        <w:rPr>
          <w:rFonts w:hint="eastAsia"/>
        </w:rPr>
      </w:pPr>
      <w:bookmarkStart w:id="172" w:name="_Toc10128"/>
      <w:bookmarkStart w:id="173" w:name="_Toc382749795"/>
      <w:bookmarkStart w:id="174" w:name="_Toc392853164"/>
      <w:r>
        <w:rPr>
          <w:rFonts w:hint="eastAsia"/>
        </w:rPr>
        <w:t>能源管理体制不健全</w:t>
      </w:r>
      <w:bookmarkEnd w:id="172"/>
      <w:bookmarkEnd w:id="173"/>
      <w:bookmarkEnd w:id="174"/>
    </w:p>
    <w:p w:rsidR="00CA619C" w:rsidRDefault="00CA619C" w:rsidP="00CA619C">
      <w:pPr>
        <w:ind w:firstLine="480"/>
        <w:rPr>
          <w:rFonts w:hint="eastAsia"/>
        </w:rPr>
      </w:pPr>
      <w:r>
        <w:rPr>
          <w:rFonts w:hint="eastAsia"/>
        </w:rPr>
        <w:t>在条块分割的管理体制下，能源产业各环节分散在不同部门管理。能源局、科技部、工信部等部门都对能源技术和产业发展进行规划和管理，存在多头管理、重点不一、产业各环节发展难以衔接的弊病，造成能源领域的基础技术与市场严重割裂，新兴能源技术市场应用上明显存在问题，产业化进程不畅。</w:t>
      </w:r>
    </w:p>
    <w:p w:rsidR="00CA619C" w:rsidRDefault="00CA619C" w:rsidP="00CA619C">
      <w:pPr>
        <w:ind w:firstLine="480"/>
        <w:rPr>
          <w:rFonts w:hint="eastAsia"/>
        </w:rPr>
      </w:pPr>
      <w:r>
        <w:rPr>
          <w:rFonts w:hint="eastAsia"/>
        </w:rPr>
        <w:t>以风电为例，并网困难和弃风限电同时存在。</w:t>
      </w:r>
      <w:r>
        <w:rPr>
          <w:rFonts w:hint="eastAsia"/>
        </w:rPr>
        <w:t>2010</w:t>
      </w:r>
      <w:r>
        <w:rPr>
          <w:rFonts w:hint="eastAsia"/>
        </w:rPr>
        <w:t>年底完成装机吊装的风电装机容量为</w:t>
      </w:r>
      <w:r>
        <w:rPr>
          <w:rFonts w:hint="eastAsia"/>
        </w:rPr>
        <w:t>4473</w:t>
      </w:r>
      <w:r>
        <w:rPr>
          <w:rFonts w:hint="eastAsia"/>
        </w:rPr>
        <w:t>万千瓦，但并网容量只有</w:t>
      </w:r>
      <w:r>
        <w:rPr>
          <w:rFonts w:hint="eastAsia"/>
        </w:rPr>
        <w:t>3107</w:t>
      </w:r>
      <w:r>
        <w:rPr>
          <w:rFonts w:hint="eastAsia"/>
        </w:rPr>
        <w:t>万千瓦。截至到</w:t>
      </w:r>
      <w:r>
        <w:rPr>
          <w:rFonts w:hint="eastAsia"/>
        </w:rPr>
        <w:t>2013</w:t>
      </w:r>
      <w:r>
        <w:rPr>
          <w:rFonts w:hint="eastAsia"/>
        </w:rPr>
        <w:t>年底，中国风电累计装机容量达到</w:t>
      </w:r>
      <w:r>
        <w:rPr>
          <w:rFonts w:hint="eastAsia"/>
        </w:rPr>
        <w:t>9174.46</w:t>
      </w:r>
      <w:r>
        <w:rPr>
          <w:rFonts w:hint="eastAsia"/>
        </w:rPr>
        <w:t>万千瓦，但并网风电累计容量只有</w:t>
      </w:r>
      <w:r>
        <w:rPr>
          <w:rFonts w:hint="eastAsia"/>
        </w:rPr>
        <w:t>7758</w:t>
      </w:r>
      <w:r>
        <w:rPr>
          <w:rFonts w:hint="eastAsia"/>
        </w:rPr>
        <w:t>万千瓦。</w:t>
      </w:r>
      <w:r>
        <w:rPr>
          <w:rFonts w:hint="eastAsia"/>
        </w:rPr>
        <w:t>2012</w:t>
      </w:r>
      <w:r>
        <w:rPr>
          <w:rFonts w:hint="eastAsia"/>
        </w:rPr>
        <w:t>年全国弃风电量约</w:t>
      </w:r>
      <w:r>
        <w:rPr>
          <w:rFonts w:hint="eastAsia"/>
        </w:rPr>
        <w:t>200</w:t>
      </w:r>
      <w:r>
        <w:rPr>
          <w:rFonts w:hint="eastAsia"/>
        </w:rPr>
        <w:t>亿千瓦时，</w:t>
      </w:r>
      <w:r>
        <w:rPr>
          <w:rFonts w:hint="eastAsia"/>
        </w:rPr>
        <w:t>2013</w:t>
      </w:r>
      <w:r>
        <w:rPr>
          <w:rFonts w:hint="eastAsia"/>
        </w:rPr>
        <w:t>年弃风限电形势虽有明显好转，但弃风电量仍超过</w:t>
      </w:r>
      <w:r>
        <w:rPr>
          <w:rFonts w:hint="eastAsia"/>
        </w:rPr>
        <w:t>150</w:t>
      </w:r>
      <w:r>
        <w:rPr>
          <w:rFonts w:hint="eastAsia"/>
        </w:rPr>
        <w:t>亿度。大量风电的撂荒有短期性的因素，比如发展过快，电网建设在一定时期跟不上，但深层次原因是相关体制机制没有理顺，包括新能源可再生能源发展和电网建设的不协调、新能源可再生能源发展带来的成本增加没有及时得到传导、对电网企业缺乏有效监管等。</w:t>
      </w:r>
    </w:p>
    <w:p w:rsidR="00CA619C" w:rsidRDefault="00CA619C" w:rsidP="00CA619C">
      <w:pPr>
        <w:ind w:firstLine="480"/>
        <w:rPr>
          <w:rFonts w:hint="eastAsia"/>
        </w:rPr>
      </w:pPr>
    </w:p>
    <w:p w:rsidR="00CA619C" w:rsidRDefault="00CA619C" w:rsidP="00CA619C">
      <w:pPr>
        <w:ind w:firstLineChars="196" w:firstLine="412"/>
        <w:sectPr w:rsidR="00CA619C">
          <w:pgSz w:w="11906" w:h="16838"/>
          <w:pgMar w:top="1091" w:right="1286" w:bottom="1090" w:left="1440" w:header="851" w:footer="992" w:gutter="0"/>
          <w:cols w:space="720"/>
          <w:docGrid w:type="lines" w:linePitch="312"/>
        </w:sectPr>
      </w:pPr>
    </w:p>
    <w:p w:rsidR="00CA619C" w:rsidRDefault="00CA619C" w:rsidP="00CA619C">
      <w:pPr>
        <w:pStyle w:val="Heading1"/>
        <w:tabs>
          <w:tab w:val="clear" w:pos="432"/>
        </w:tabs>
        <w:rPr>
          <w:rFonts w:hint="eastAsia"/>
        </w:rPr>
      </w:pPr>
      <w:bookmarkStart w:id="175" w:name="_Toc392853165"/>
      <w:r>
        <w:rPr>
          <w:rFonts w:hint="eastAsia"/>
        </w:rPr>
        <w:t>构建我国新兴能源产业技术创新支撑体系的设想与建议</w:t>
      </w:r>
      <w:bookmarkEnd w:id="175"/>
    </w:p>
    <w:p w:rsidR="00CA619C" w:rsidRDefault="00CA619C" w:rsidP="00CA619C">
      <w:pPr>
        <w:pStyle w:val="Heading2"/>
        <w:tabs>
          <w:tab w:val="clear" w:pos="575"/>
        </w:tabs>
        <w:rPr>
          <w:rFonts w:hint="eastAsia"/>
        </w:rPr>
      </w:pPr>
      <w:bookmarkStart w:id="176" w:name="_Toc392853166"/>
      <w:r>
        <w:rPr>
          <w:rFonts w:hint="eastAsia"/>
        </w:rPr>
        <w:t>确立我国新兴能源技术目标定位</w:t>
      </w:r>
      <w:bookmarkEnd w:id="176"/>
    </w:p>
    <w:p w:rsidR="00CA619C" w:rsidRDefault="00CA619C" w:rsidP="00CA619C">
      <w:pPr>
        <w:pStyle w:val="Heading3"/>
        <w:numPr>
          <w:ilvl w:val="2"/>
          <w:numId w:val="1"/>
        </w:numPr>
        <w:tabs>
          <w:tab w:val="clear" w:pos="720"/>
        </w:tabs>
        <w:rPr>
          <w:rFonts w:hint="eastAsia"/>
        </w:rPr>
      </w:pPr>
      <w:bookmarkStart w:id="177" w:name="_Toc392853167"/>
      <w:r>
        <w:rPr>
          <w:rFonts w:hint="eastAsia"/>
        </w:rPr>
        <w:t>要确立国际领先的新兴能源产业目标定位</w:t>
      </w:r>
      <w:bookmarkEnd w:id="177"/>
    </w:p>
    <w:p w:rsidR="00CA619C" w:rsidRDefault="00CA619C" w:rsidP="00CA619C">
      <w:pPr>
        <w:ind w:firstLine="480"/>
        <w:rPr>
          <w:rFonts w:hint="eastAsia"/>
        </w:rPr>
      </w:pPr>
      <w:r>
        <w:rPr>
          <w:rFonts w:hint="eastAsia"/>
        </w:rPr>
        <w:t>构建国内新兴能源产业技术创新支撑体系，首先需要对我国新兴能源产业的发展进行目标定位。就目前来看，我国已将发展新兴能源产业提到了战略高度，并制定了一定的规划目标。</w:t>
      </w:r>
    </w:p>
    <w:p w:rsidR="00CA619C" w:rsidRDefault="00CA619C" w:rsidP="00CA619C">
      <w:pPr>
        <w:ind w:firstLine="480"/>
        <w:rPr>
          <w:rFonts w:hint="eastAsia"/>
        </w:rPr>
      </w:pPr>
      <w:r>
        <w:rPr>
          <w:rFonts w:hint="eastAsia"/>
        </w:rPr>
        <w:t>首先是我国发布的《中国的能源政策</w:t>
      </w:r>
      <w:r>
        <w:rPr>
          <w:rFonts w:hint="eastAsia"/>
        </w:rPr>
        <w:t>2012</w:t>
      </w:r>
      <w:r>
        <w:rPr>
          <w:rFonts w:hint="eastAsia"/>
        </w:rPr>
        <w:t>》对我国非化石能源发展提出了目标要求。白皮书指出，中国坚定不移地大力发展新能源和可再生能源，到“十二五”末，非化石能源消费占一次能源消费比重将达到</w:t>
      </w:r>
      <w:r>
        <w:rPr>
          <w:rFonts w:hint="eastAsia"/>
        </w:rPr>
        <w:t>11.4</w:t>
      </w:r>
      <w:r>
        <w:rPr>
          <w:rFonts w:hint="eastAsia"/>
        </w:rPr>
        <w:t>％，非化石能源发电装机比重达到</w:t>
      </w:r>
      <w:r>
        <w:rPr>
          <w:rFonts w:hint="eastAsia"/>
        </w:rPr>
        <w:t>30</w:t>
      </w:r>
      <w:r>
        <w:rPr>
          <w:rFonts w:hint="eastAsia"/>
        </w:rPr>
        <w:t>％。而非化石能源则以新兴能源为主，这就表明我国需要大力发展新兴能源产业。</w:t>
      </w:r>
    </w:p>
    <w:p w:rsidR="00CA619C" w:rsidRDefault="00CA619C" w:rsidP="00CA619C">
      <w:pPr>
        <w:ind w:firstLine="480"/>
        <w:rPr>
          <w:rFonts w:hint="eastAsia"/>
        </w:rPr>
      </w:pPr>
      <w:r>
        <w:rPr>
          <w:rFonts w:hint="eastAsia"/>
        </w:rPr>
        <w:t>其次，我国</w:t>
      </w:r>
      <w:r>
        <w:rPr>
          <w:rFonts w:hint="eastAsia"/>
        </w:rPr>
        <w:t>2012</w:t>
      </w:r>
      <w:r>
        <w:rPr>
          <w:rFonts w:hint="eastAsia"/>
        </w:rPr>
        <w:t>年发布了《“十二五”国家战略性新兴产业发展规划》，风能、太阳能等被作为新能源列入其中，规划指出，到</w:t>
      </w:r>
      <w:r>
        <w:rPr>
          <w:rFonts w:hint="eastAsia"/>
        </w:rPr>
        <w:t>2015</w:t>
      </w:r>
      <w:r>
        <w:rPr>
          <w:rFonts w:hint="eastAsia"/>
        </w:rPr>
        <w:t>年，新能源占能源消费总量的比例提高到</w:t>
      </w:r>
      <w:r>
        <w:rPr>
          <w:rFonts w:hint="eastAsia"/>
        </w:rPr>
        <w:t>4.5%</w:t>
      </w:r>
      <w:r>
        <w:rPr>
          <w:rFonts w:hint="eastAsia"/>
        </w:rPr>
        <w:t>，减少二氧化碳年排放量</w:t>
      </w:r>
      <w:r>
        <w:rPr>
          <w:rFonts w:hint="eastAsia"/>
        </w:rPr>
        <w:t>4</w:t>
      </w:r>
      <w:r>
        <w:rPr>
          <w:rFonts w:hint="eastAsia"/>
        </w:rPr>
        <w:t>亿吨以上。其中包括：</w:t>
      </w:r>
    </w:p>
    <w:p w:rsidR="00CA619C" w:rsidRDefault="00CA619C" w:rsidP="00CA619C">
      <w:pPr>
        <w:ind w:firstLine="480"/>
        <w:rPr>
          <w:rFonts w:hint="eastAsia"/>
        </w:rPr>
      </w:pPr>
      <w:r>
        <w:rPr>
          <w:rFonts w:hint="eastAsia"/>
        </w:rPr>
        <w:t>2015</w:t>
      </w:r>
      <w:r>
        <w:rPr>
          <w:rFonts w:hint="eastAsia"/>
        </w:rPr>
        <w:t>年，累计并网风电装机超过</w:t>
      </w:r>
      <w:r>
        <w:rPr>
          <w:rFonts w:hint="eastAsia"/>
        </w:rPr>
        <w:t>1</w:t>
      </w:r>
      <w:r>
        <w:rPr>
          <w:rFonts w:hint="eastAsia"/>
        </w:rPr>
        <w:t>亿千瓦，年发电量达到</w:t>
      </w:r>
      <w:r>
        <w:rPr>
          <w:rFonts w:hint="eastAsia"/>
        </w:rPr>
        <w:t>1900</w:t>
      </w:r>
      <w:r>
        <w:rPr>
          <w:rFonts w:hint="eastAsia"/>
        </w:rPr>
        <w:t>亿千瓦时。基本建立完善的风电产业链，掌握先进风电机组整体设计能力，形成海上风电设备制造、工程施工能力。</w:t>
      </w:r>
      <w:r>
        <w:rPr>
          <w:rFonts w:hint="eastAsia"/>
        </w:rPr>
        <w:t>2020</w:t>
      </w:r>
      <w:r>
        <w:rPr>
          <w:rFonts w:hint="eastAsia"/>
        </w:rPr>
        <w:t>年，累计并网风电装机</w:t>
      </w:r>
      <w:r>
        <w:rPr>
          <w:rFonts w:hint="eastAsia"/>
        </w:rPr>
        <w:t>2</w:t>
      </w:r>
      <w:r>
        <w:rPr>
          <w:rFonts w:hint="eastAsia"/>
        </w:rPr>
        <w:t>亿千瓦以上，年发电量超过</w:t>
      </w:r>
      <w:r>
        <w:rPr>
          <w:rFonts w:hint="eastAsia"/>
        </w:rPr>
        <w:t>3800</w:t>
      </w:r>
      <w:r>
        <w:rPr>
          <w:rFonts w:hint="eastAsia"/>
        </w:rPr>
        <w:t>亿千瓦时。海上风电装备实现大规模商业化应用。风电装备具备国际竞争力，技术创新能力达到国际先进水平。</w:t>
      </w:r>
    </w:p>
    <w:p w:rsidR="00CA619C" w:rsidRDefault="00CA619C" w:rsidP="00CA619C">
      <w:pPr>
        <w:ind w:firstLine="480"/>
        <w:rPr>
          <w:rFonts w:hint="eastAsia"/>
        </w:rPr>
      </w:pPr>
      <w:r>
        <w:rPr>
          <w:rFonts w:hint="eastAsia"/>
        </w:rPr>
        <w:t>2015</w:t>
      </w:r>
      <w:r>
        <w:rPr>
          <w:rFonts w:hint="eastAsia"/>
        </w:rPr>
        <w:t>年，太阳能发电装机容量达到</w:t>
      </w:r>
      <w:r>
        <w:rPr>
          <w:rFonts w:hint="eastAsia"/>
        </w:rPr>
        <w:t>2100</w:t>
      </w:r>
      <w:r>
        <w:rPr>
          <w:rFonts w:hint="eastAsia"/>
        </w:rPr>
        <w:t>万千瓦以上，光伏发电系统在用户侧实现平价上网。太阳能热利用安装面积达到</w:t>
      </w:r>
      <w:r>
        <w:rPr>
          <w:rFonts w:hint="eastAsia"/>
        </w:rPr>
        <w:t>4</w:t>
      </w:r>
      <w:r>
        <w:rPr>
          <w:rFonts w:hint="eastAsia"/>
        </w:rPr>
        <w:t>亿平方米。掌握太阳能发电、热利用关键技术，太阳能利用设备及其新材料的研发制造能力大幅提高。开展太阳能热发电试验示范。</w:t>
      </w:r>
      <w:r>
        <w:rPr>
          <w:rFonts w:hint="eastAsia"/>
        </w:rPr>
        <w:t>2020</w:t>
      </w:r>
      <w:r>
        <w:rPr>
          <w:rFonts w:hint="eastAsia"/>
        </w:rPr>
        <w:t>年，太阳能发电装机容量达到</w:t>
      </w:r>
      <w:r>
        <w:rPr>
          <w:rFonts w:hint="eastAsia"/>
        </w:rPr>
        <w:t>5000</w:t>
      </w:r>
      <w:r>
        <w:rPr>
          <w:rFonts w:hint="eastAsia"/>
        </w:rPr>
        <w:t>万千瓦以上，光伏发电系统在发电侧实现平价上网。太阳能热利用安装面积达到</w:t>
      </w:r>
      <w:r>
        <w:rPr>
          <w:rFonts w:hint="eastAsia"/>
        </w:rPr>
        <w:t>8</w:t>
      </w:r>
      <w:r>
        <w:rPr>
          <w:rFonts w:hint="eastAsia"/>
        </w:rPr>
        <w:t>亿平方米；太阳能光伏装备研发和制造技术达到世界先进水平，太阳能热发电实现产业化和规模化发展。</w:t>
      </w:r>
    </w:p>
    <w:p w:rsidR="00CA619C" w:rsidRDefault="00CA619C" w:rsidP="00CA619C">
      <w:pPr>
        <w:ind w:firstLine="480"/>
        <w:rPr>
          <w:rFonts w:hint="eastAsia"/>
        </w:rPr>
      </w:pPr>
      <w:r>
        <w:rPr>
          <w:rFonts w:hint="eastAsia"/>
        </w:rPr>
        <w:t>我国在</w:t>
      </w:r>
      <w:r>
        <w:rPr>
          <w:rFonts w:hint="eastAsia"/>
        </w:rPr>
        <w:t>2013</w:t>
      </w:r>
      <w:r>
        <w:rPr>
          <w:rFonts w:hint="eastAsia"/>
        </w:rPr>
        <w:t>年</w:t>
      </w:r>
      <w:r>
        <w:rPr>
          <w:rFonts w:hint="eastAsia"/>
        </w:rPr>
        <w:t>10</w:t>
      </w:r>
      <w:r>
        <w:rPr>
          <w:rFonts w:hint="eastAsia"/>
        </w:rPr>
        <w:t>月国家能源局制定的《页岩气产业政策》中，将页岩气开发纳入了国家战略性新兴产业。并在《页岩气发展规划（</w:t>
      </w:r>
      <w:r>
        <w:rPr>
          <w:rFonts w:hint="eastAsia"/>
        </w:rPr>
        <w:t>2011-2015</w:t>
      </w:r>
      <w:r>
        <w:rPr>
          <w:rFonts w:hint="eastAsia"/>
        </w:rPr>
        <w:t>年）》中指出，到</w:t>
      </w:r>
      <w:r>
        <w:rPr>
          <w:rFonts w:hint="eastAsia"/>
        </w:rPr>
        <w:t xml:space="preserve">2015 </w:t>
      </w:r>
      <w:r>
        <w:rPr>
          <w:rFonts w:hint="eastAsia"/>
        </w:rPr>
        <w:t>年初步实现规模化生产，实现页岩气产量</w:t>
      </w:r>
      <w:r>
        <w:rPr>
          <w:rFonts w:hint="eastAsia"/>
        </w:rPr>
        <w:t xml:space="preserve">65 </w:t>
      </w:r>
      <w:r>
        <w:rPr>
          <w:rFonts w:hint="eastAsia"/>
        </w:rPr>
        <w:t>亿立方米。力争</w:t>
      </w:r>
      <w:r>
        <w:rPr>
          <w:rFonts w:hint="eastAsia"/>
        </w:rPr>
        <w:t xml:space="preserve">2020 </w:t>
      </w:r>
      <w:r>
        <w:rPr>
          <w:rFonts w:hint="eastAsia"/>
        </w:rPr>
        <w:t>年产量达到</w:t>
      </w:r>
      <w:r>
        <w:rPr>
          <w:rFonts w:hint="eastAsia"/>
        </w:rPr>
        <w:t xml:space="preserve">600-1000 </w:t>
      </w:r>
      <w:r>
        <w:rPr>
          <w:rFonts w:hint="eastAsia"/>
        </w:rPr>
        <w:t>亿立方米。</w:t>
      </w:r>
    </w:p>
    <w:p w:rsidR="00CA619C" w:rsidRDefault="00CA619C" w:rsidP="00CA619C">
      <w:pPr>
        <w:ind w:firstLine="480"/>
        <w:rPr>
          <w:rFonts w:hint="eastAsia"/>
        </w:rPr>
      </w:pPr>
      <w:r>
        <w:rPr>
          <w:rFonts w:hint="eastAsia"/>
        </w:rPr>
        <w:t>对于储能产业来说，“储能”二字在国家的政策性纲领性文件中首次出现是在我国</w:t>
      </w:r>
      <w:r>
        <w:rPr>
          <w:rFonts w:hint="eastAsia"/>
        </w:rPr>
        <w:t>2011</w:t>
      </w:r>
      <w:r>
        <w:rPr>
          <w:rFonts w:hint="eastAsia"/>
        </w:rPr>
        <w:t>年发布的《中华人民共和国国民经济和社会发展第十二个五年规划纲要》，其中指出“要依托信息、控制和储能等先进技术，推进智能电网建设”。到目前为止，我国还没有具体的发展规划目标，只是相关产业的规划中，对储能产业提出了一定的目标要求。例如：《国家“十二五”科学和技术发展规划》中指出，要围绕节能减排、能源材料和装备、生物质能、储能等战略必争领域和产业核心竞争力的提升，突破核心关键技术；《“十二五”国家战略性新兴产业发展规划》的太阳能、风能等发展目标中指出，要开发太阳能光伏储能技术和装备，发展高效储能，并在风电储能技术方面取得重大突破。</w:t>
      </w:r>
    </w:p>
    <w:p w:rsidR="00CA619C" w:rsidRDefault="00CA619C" w:rsidP="00CA619C">
      <w:pPr>
        <w:ind w:firstLine="480"/>
        <w:rPr>
          <w:rFonts w:hint="eastAsia"/>
        </w:rPr>
      </w:pPr>
      <w:r>
        <w:rPr>
          <w:rFonts w:hint="eastAsia"/>
        </w:rPr>
        <w:t>目前，欧洲正在逐步实现关于</w:t>
      </w:r>
      <w:r>
        <w:rPr>
          <w:rFonts w:hint="eastAsia"/>
        </w:rPr>
        <w:t>2020</w:t>
      </w:r>
      <w:r>
        <w:rPr>
          <w:rFonts w:hint="eastAsia"/>
        </w:rPr>
        <w:t>年可再生能源发电总用电量占比</w:t>
      </w:r>
      <w:r>
        <w:rPr>
          <w:rFonts w:hint="eastAsia"/>
        </w:rPr>
        <w:t>20%</w:t>
      </w:r>
      <w:r>
        <w:rPr>
          <w:rFonts w:hint="eastAsia"/>
        </w:rPr>
        <w:t>的目标。我国要实现到</w:t>
      </w:r>
      <w:r>
        <w:rPr>
          <w:rFonts w:hint="eastAsia"/>
        </w:rPr>
        <w:t>2020</w:t>
      </w:r>
      <w:r>
        <w:rPr>
          <w:rFonts w:hint="eastAsia"/>
        </w:rPr>
        <w:t>年非化石能源占一次能源消费比重</w:t>
      </w:r>
      <w:r>
        <w:rPr>
          <w:rFonts w:hint="eastAsia"/>
        </w:rPr>
        <w:t>15</w:t>
      </w:r>
      <w:r>
        <w:rPr>
          <w:rFonts w:hint="eastAsia"/>
        </w:rPr>
        <w:t>％的目标，一半靠水电，另外一半则要靠新能源。要实现这个目标，技术创新和产业化是非常重要的，我们应该以中国的能源现状确立具体的能源目标。中国应该在新兴能源技术创新领域确立全球领先的地位，要争做全球领先者。并主要依靠自有的技术创新，通过整合利用全球的技术创新成果，来推动中国新兴能源技术和产业的共同发展。</w:t>
      </w:r>
    </w:p>
    <w:p w:rsidR="00CA619C" w:rsidRDefault="00CA619C" w:rsidP="00CA619C">
      <w:pPr>
        <w:pStyle w:val="Heading3"/>
        <w:numPr>
          <w:ilvl w:val="2"/>
          <w:numId w:val="1"/>
        </w:numPr>
        <w:tabs>
          <w:tab w:val="clear" w:pos="720"/>
        </w:tabs>
        <w:rPr>
          <w:rFonts w:hint="eastAsia"/>
        </w:rPr>
      </w:pPr>
      <w:bookmarkStart w:id="178" w:name="_Toc392853168"/>
      <w:r>
        <w:rPr>
          <w:rFonts w:hint="eastAsia"/>
        </w:rPr>
        <w:t>我国在新兴能源领域具有成为全球领先地位的条件</w:t>
      </w:r>
      <w:bookmarkEnd w:id="178"/>
    </w:p>
    <w:p w:rsidR="00CA619C" w:rsidRDefault="00CA619C" w:rsidP="00CA619C">
      <w:pPr>
        <w:ind w:firstLine="480"/>
        <w:rPr>
          <w:rFonts w:hint="eastAsia"/>
        </w:rPr>
      </w:pPr>
      <w:r>
        <w:rPr>
          <w:rFonts w:hint="eastAsia"/>
        </w:rPr>
        <w:t>一是对于新兴能源，我国已经有这样的基础，在有些领域已经走在或者跟上全球领先发展水平，比如大型风电设备的研制。</w:t>
      </w:r>
    </w:p>
    <w:p w:rsidR="00CA619C" w:rsidRDefault="00CA619C" w:rsidP="00CA619C">
      <w:pPr>
        <w:ind w:firstLine="480"/>
        <w:rPr>
          <w:rFonts w:hint="eastAsia"/>
        </w:rPr>
      </w:pPr>
      <w:r>
        <w:rPr>
          <w:rFonts w:hint="eastAsia"/>
        </w:rPr>
        <w:t>二是新兴能源产业在世界各国的发展几乎同时起步，发展的基础相同或相似，我国在新兴能源领域有机会做一个领跑者。</w:t>
      </w:r>
    </w:p>
    <w:p w:rsidR="00CA619C" w:rsidRDefault="00CA619C" w:rsidP="00CA619C">
      <w:pPr>
        <w:ind w:firstLine="480"/>
        <w:rPr>
          <w:rFonts w:hint="eastAsia"/>
        </w:rPr>
      </w:pPr>
      <w:r>
        <w:rPr>
          <w:rFonts w:hint="eastAsia"/>
        </w:rPr>
        <w:t>三是目前新兴能源在国际范围正在发生变革，在这种变革期，只要我国抓住机会，也完全有可能在新的轨道上成为领跑者，即所谓的“变轨式创新”。</w:t>
      </w:r>
    </w:p>
    <w:p w:rsidR="00CA619C" w:rsidRDefault="00CA619C" w:rsidP="00CA619C">
      <w:pPr>
        <w:ind w:firstLine="480"/>
        <w:rPr>
          <w:rFonts w:hint="eastAsia"/>
        </w:rPr>
      </w:pPr>
      <w:r>
        <w:rPr>
          <w:rFonts w:hint="eastAsia"/>
        </w:rPr>
        <w:t>此外，我国还具有一个世界其他国家不具备的条件，就是我国拥有非常巨大的应用市场，我国可以通过市场应用的拉动作用来推动新兴能源产业的发展。近几年我国风电、太阳能光伏装机容量实现高速增长，对装备工业的拉动非常大。</w:t>
      </w:r>
    </w:p>
    <w:p w:rsidR="00CA619C" w:rsidRDefault="00CA619C" w:rsidP="00CA619C">
      <w:pPr>
        <w:ind w:firstLine="480"/>
        <w:rPr>
          <w:rFonts w:hint="eastAsia"/>
        </w:rPr>
      </w:pPr>
      <w:r>
        <w:rPr>
          <w:rFonts w:hint="eastAsia"/>
        </w:rPr>
        <w:t>因此，我国在新兴能源领域具有成为全球领先地位的条件，我国在新兴能源领域确定一个全球领先的目标是可行的，我国完全可以也应该在能源技术领域确定一个“技术和技术创新领先”的目标定位。</w:t>
      </w:r>
    </w:p>
    <w:p w:rsidR="00CA619C" w:rsidRDefault="00CA619C" w:rsidP="00CA619C">
      <w:pPr>
        <w:pStyle w:val="Heading3"/>
        <w:numPr>
          <w:ilvl w:val="2"/>
          <w:numId w:val="1"/>
        </w:numPr>
        <w:tabs>
          <w:tab w:val="clear" w:pos="720"/>
        </w:tabs>
        <w:rPr>
          <w:rFonts w:hint="eastAsia"/>
        </w:rPr>
      </w:pPr>
      <w:bookmarkStart w:id="179" w:name="_Toc392853169"/>
      <w:r>
        <w:rPr>
          <w:rFonts w:hint="eastAsia"/>
        </w:rPr>
        <w:t>构建我国新兴能源产业技术创新支撑体系的基本框架</w:t>
      </w:r>
      <w:bookmarkEnd w:id="179"/>
    </w:p>
    <w:p w:rsidR="00CA619C" w:rsidRDefault="00CA619C" w:rsidP="00CA619C">
      <w:pPr>
        <w:ind w:firstLine="480"/>
        <w:rPr>
          <w:rFonts w:ascii="宋体" w:hAnsi="宋体" w:hint="eastAsia"/>
          <w:color w:val="000000"/>
        </w:rPr>
      </w:pPr>
      <w:r>
        <w:rPr>
          <w:rFonts w:ascii="宋体" w:hAnsi="宋体" w:hint="eastAsia"/>
          <w:color w:val="000000"/>
        </w:rPr>
        <w:t>我国现有能源技术创新支撑体系尚存在诸多问题，要建立我国新兴能源产业“技术和技术创新领先”的目标，就需要重构我国新兴能源产业技术创新支撑体系的基本框架，并不断丰富完善基本框架下的新兴能源创新技术供给体系、创新技术产业化路径、技术创新的服务体系，以及政策环境和设备氛围。在借鉴美国新兴能源产业技术创新支撑体系框架的基础上，我们提出一个立体的三维新兴能源产业技术创新支撑体系基本框架。其中：</w:t>
      </w:r>
    </w:p>
    <w:p w:rsidR="00CA619C" w:rsidRDefault="00CA619C" w:rsidP="00CA619C">
      <w:pPr>
        <w:ind w:firstLine="519"/>
        <w:rPr>
          <w:rFonts w:ascii="宋体" w:hAnsi="宋体" w:hint="eastAsia"/>
          <w:color w:val="000000"/>
        </w:rPr>
      </w:pPr>
      <w:r>
        <w:rPr>
          <w:rFonts w:ascii="宋体" w:hAnsi="宋体" w:hint="eastAsia"/>
          <w:b/>
          <w:color w:val="000000"/>
        </w:rPr>
        <w:t>第一个维度是基于技术成熟程度而建立的“技术发展及应用阶段轴”。</w:t>
      </w:r>
      <w:r>
        <w:rPr>
          <w:rFonts w:ascii="宋体" w:hAnsi="宋体" w:hint="eastAsia"/>
          <w:color w:val="000000"/>
        </w:rPr>
        <w:t>该指标维度主要将技术划分为基础科研阶段、可行性研究阶段、技术开发阶段、技术示范阶段、技术初期应用阶段、技术大规模应用阶段这六个区间段来标记。当然，针对同一种创新型技术，不同市场创新主体依据自身的研发能力所能掌控的技术成熟程度必然是有所区别的，这才能体现出技术不同发展阶段的创新技术供给主体的区别，以及技术不断改进、升级及优化，并最终实现规模应用的产业化过程。</w:t>
      </w:r>
    </w:p>
    <w:p w:rsidR="00CA619C" w:rsidRDefault="00CA619C" w:rsidP="00CA619C">
      <w:pPr>
        <w:ind w:firstLine="519"/>
        <w:rPr>
          <w:rFonts w:ascii="宋体" w:hAnsi="宋体" w:hint="eastAsia"/>
          <w:color w:val="000000"/>
        </w:rPr>
      </w:pPr>
      <w:r>
        <w:rPr>
          <w:rFonts w:ascii="宋体" w:hAnsi="宋体" w:hint="eastAsia"/>
          <w:b/>
          <w:color w:val="000000"/>
        </w:rPr>
        <w:t>第二个维度是基于技术不同发展阶段产业所具有的的特征而建立的“技术产业特征轴”。</w:t>
      </w:r>
      <w:r>
        <w:rPr>
          <w:rFonts w:ascii="宋体" w:hAnsi="宋体" w:hint="eastAsia"/>
          <w:color w:val="000000"/>
        </w:rPr>
        <w:t>该指标维度主要以技术不同阶段情况下产业对技术研发及资本投入需求的多寡来划分，如：高资本投入、中等资本投入投入、低资本投入等相对概念来标记。一般技术不同发展阶段对研发和资本投入的需求程度基本上反应了技术创新对产业扶持及配套政策的需求，高资本投入普遍需要政府出台更加优惠的产业政策来引导技术创新，并推进产业发展。这就决定技术发展不同阶段对产业政策环境及社会氛围的需求也是不同的。</w:t>
      </w:r>
    </w:p>
    <w:p w:rsidR="00CA619C" w:rsidRDefault="00CA619C" w:rsidP="00CA619C">
      <w:pPr>
        <w:ind w:firstLine="519"/>
        <w:rPr>
          <w:rFonts w:ascii="宋体" w:hAnsi="宋体" w:hint="eastAsia"/>
          <w:color w:val="000000"/>
        </w:rPr>
      </w:pPr>
      <w:r>
        <w:rPr>
          <w:rFonts w:ascii="宋体" w:hAnsi="宋体" w:hint="eastAsia"/>
          <w:b/>
          <w:color w:val="000000"/>
        </w:rPr>
        <w:t>第三个维度是基于技术不同发展阶段创新风险及收益的高低程度而建立的“技术风险及收益轴”。</w:t>
      </w:r>
      <w:r>
        <w:rPr>
          <w:rFonts w:ascii="宋体" w:hAnsi="宋体" w:hint="eastAsia"/>
          <w:color w:val="000000"/>
        </w:rPr>
        <w:t>该指标维度主要反应技术不同发展阶段创新的风险程度。技术创新的高风险一般对应着创新成果的高收益性，而技术创新的低风险并不一定是低收益，也可能带来较高的收益，所以该维度指标主要在坐标轴中体现为高风险高收益和低风险进行中两个前后端。</w:t>
      </w:r>
    </w:p>
    <w:p w:rsidR="00CA619C" w:rsidRDefault="00CA619C" w:rsidP="00CA619C">
      <w:pPr>
        <w:ind w:firstLine="480"/>
        <w:rPr>
          <w:rFonts w:ascii="宋体" w:hAnsi="宋体" w:hint="eastAsia"/>
          <w:color w:val="000000"/>
        </w:rPr>
      </w:pPr>
    </w:p>
    <w:p w:rsidR="00CA619C" w:rsidRDefault="00CA619C" w:rsidP="00CA619C">
      <w:pPr>
        <w:ind w:firstLine="560"/>
        <w:rPr>
          <w:rFonts w:ascii="仿宋" w:eastAsia="仿宋" w:hAnsi="仿宋" w:hint="eastAsia"/>
          <w:color w:val="000000"/>
          <w:sz w:val="28"/>
          <w:szCs w:val="28"/>
        </w:rPr>
      </w:pPr>
    </w:p>
    <w:p w:rsidR="00CA619C" w:rsidRDefault="00CA619C" w:rsidP="00CA619C">
      <w:pPr>
        <w:widowControl/>
        <w:ind w:firstLine="480"/>
        <w:jc w:val="left"/>
        <w:rPr>
          <w:rFonts w:ascii="宋体" w:hAnsi="宋体" w:cs="宋体"/>
          <w:kern w:val="0"/>
        </w:rPr>
      </w:pPr>
      <w:r>
        <w:rPr>
          <w:rFonts w:ascii="宋体" w:hAnsi="宋体" w:cs="宋体"/>
          <w:noProof/>
          <w:kern w:val="0"/>
          <w:lang w:eastAsia="en-US"/>
        </w:rPr>
        <w:drawing>
          <wp:inline distT="0" distB="0" distL="0" distR="0">
            <wp:extent cx="4382770" cy="2759075"/>
            <wp:effectExtent l="0" t="0" r="11430" b="9525"/>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Rot="1"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82770" cy="2759075"/>
                    </a:xfrm>
                    <a:prstGeom prst="rect">
                      <a:avLst/>
                    </a:prstGeom>
                    <a:noFill/>
                    <a:ln>
                      <a:noFill/>
                    </a:ln>
                    <a:effectLst/>
                  </pic:spPr>
                </pic:pic>
              </a:graphicData>
            </a:graphic>
          </wp:inline>
        </w:drawing>
      </w:r>
    </w:p>
    <w:p w:rsidR="00CA619C" w:rsidRDefault="00CA619C" w:rsidP="00CA619C">
      <w:pPr>
        <w:pStyle w:val="a3"/>
        <w:rPr>
          <w:rFonts w:hint="eastAsia"/>
        </w:rPr>
      </w:pPr>
      <w:bookmarkStart w:id="180" w:name="_Toc392853217"/>
      <w:r>
        <w:rPr>
          <w:rFonts w:hint="eastAsia"/>
        </w:rPr>
        <w:t>我国新兴能源产业技术创新支撑体系建设基本设想</w:t>
      </w:r>
      <w:bookmarkEnd w:id="180"/>
    </w:p>
    <w:p w:rsidR="00CA619C" w:rsidRDefault="00CA619C" w:rsidP="00CA619C">
      <w:pPr>
        <w:pStyle w:val="a3"/>
        <w:numPr>
          <w:ilvl w:val="0"/>
          <w:numId w:val="0"/>
        </w:numPr>
        <w:rPr>
          <w:rFonts w:hint="eastAsia"/>
        </w:rPr>
      </w:pPr>
    </w:p>
    <w:p w:rsidR="00CA619C" w:rsidRDefault="00CA619C" w:rsidP="00CA619C">
      <w:pPr>
        <w:ind w:firstLine="560"/>
        <w:rPr>
          <w:rFonts w:ascii="仿宋" w:eastAsia="仿宋" w:hAnsi="仿宋" w:hint="eastAsia"/>
          <w:color w:val="000000"/>
          <w:sz w:val="28"/>
          <w:szCs w:val="28"/>
        </w:rPr>
      </w:pPr>
      <w:r>
        <w:rPr>
          <w:rFonts w:ascii="仿宋" w:eastAsia="仿宋" w:hAnsi="仿宋"/>
          <w:noProof/>
          <w:color w:val="000000"/>
          <w:sz w:val="28"/>
          <w:szCs w:val="28"/>
          <w:lang w:eastAsia="en-US"/>
        </w:rPr>
        <w:drawing>
          <wp:inline distT="0" distB="0" distL="0" distR="0">
            <wp:extent cx="4335780" cy="2018030"/>
            <wp:effectExtent l="0" t="0" r="762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Rot="1"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35780" cy="2018030"/>
                    </a:xfrm>
                    <a:prstGeom prst="rect">
                      <a:avLst/>
                    </a:prstGeom>
                    <a:noFill/>
                    <a:ln>
                      <a:noFill/>
                    </a:ln>
                    <a:effectLst/>
                  </pic:spPr>
                </pic:pic>
              </a:graphicData>
            </a:graphic>
          </wp:inline>
        </w:drawing>
      </w:r>
    </w:p>
    <w:p w:rsidR="00CA619C" w:rsidRDefault="00CA619C" w:rsidP="00CA619C">
      <w:pPr>
        <w:pStyle w:val="a3"/>
        <w:rPr>
          <w:rFonts w:hint="eastAsia"/>
        </w:rPr>
      </w:pPr>
      <w:bookmarkStart w:id="181" w:name="_Toc392853218"/>
      <w:r>
        <w:rPr>
          <w:rFonts w:hint="eastAsia"/>
        </w:rPr>
        <w:t>我国新兴能源产业技术创新支撑体系的功能要素</w:t>
      </w:r>
      <w:bookmarkEnd w:id="181"/>
    </w:p>
    <w:p w:rsidR="00CA619C" w:rsidRDefault="00CA619C" w:rsidP="00CA619C">
      <w:pPr>
        <w:ind w:firstLine="480"/>
        <w:rPr>
          <w:rFonts w:hint="eastAsia"/>
        </w:rPr>
      </w:pPr>
      <w:r>
        <w:rPr>
          <w:rFonts w:hint="eastAsia"/>
        </w:rPr>
        <w:t>立足该三维立体框架结构，我们尝试着对完善及重构我国新兴能源产业技术创新支撑体系的功能要素提出建议，包括对建立完整的创新技术供给体系的建议，构建合理的创新技术产业化路径的建议，提供全面的技术创新服务体系的建议，以及完善产业政策支持体系。</w:t>
      </w:r>
    </w:p>
    <w:p w:rsidR="00CA619C" w:rsidRDefault="00CA619C" w:rsidP="00CA619C">
      <w:pPr>
        <w:pStyle w:val="Heading2"/>
        <w:tabs>
          <w:tab w:val="clear" w:pos="575"/>
        </w:tabs>
        <w:rPr>
          <w:rFonts w:hint="eastAsia"/>
        </w:rPr>
      </w:pPr>
      <w:bookmarkStart w:id="182" w:name="_Toc392853170"/>
      <w:r>
        <w:rPr>
          <w:rFonts w:hint="eastAsia"/>
        </w:rPr>
        <w:t>建立完整的供给体系</w:t>
      </w:r>
      <w:bookmarkEnd w:id="182"/>
    </w:p>
    <w:p w:rsidR="00CA619C" w:rsidRDefault="00CA619C" w:rsidP="00CA619C">
      <w:pPr>
        <w:ind w:firstLine="480"/>
        <w:rPr>
          <w:rFonts w:hint="eastAsia"/>
        </w:rPr>
      </w:pPr>
      <w:r>
        <w:rPr>
          <w:rFonts w:hint="eastAsia"/>
        </w:rPr>
        <w:t>研发体系中充足的资金与人才资源，科学的评价系统以及有效的管理方法是可持续的创新力的保证。如何通过管理机构、管理系统及激励机制的设置使相关资源更加合理、更加有效地发挥作用，从而吸引更多的资本投入以促进创新的繁荣应是新兴能源技术及产业发展首要解决的问题。在我国的新兴能源技术创新供给体系中，公共研发机构、大企业、中小企业和大学都是必不可少的，只是在不同阶段发挥不同作用。例如：源头性创新主要以公共研发机构和大学为主；应用开发更多地依靠中小企业；而推动产业集成，实现大规模产业化则要依靠大企业。</w:t>
      </w:r>
    </w:p>
    <w:p w:rsidR="00CA619C" w:rsidRDefault="00CA619C" w:rsidP="00CA619C">
      <w:pPr>
        <w:pStyle w:val="Heading3"/>
        <w:numPr>
          <w:ilvl w:val="2"/>
          <w:numId w:val="1"/>
        </w:numPr>
        <w:tabs>
          <w:tab w:val="clear" w:pos="720"/>
        </w:tabs>
        <w:rPr>
          <w:rFonts w:hint="eastAsia"/>
        </w:rPr>
      </w:pPr>
      <w:bookmarkStart w:id="183" w:name="_Toc392853171"/>
      <w:r>
        <w:rPr>
          <w:rFonts w:hint="eastAsia"/>
        </w:rPr>
        <w:t>建立公共研发机构</w:t>
      </w:r>
      <w:bookmarkEnd w:id="183"/>
    </w:p>
    <w:p w:rsidR="00CA619C" w:rsidRDefault="00CA619C" w:rsidP="00CA619C">
      <w:pPr>
        <w:ind w:firstLine="480"/>
        <w:rPr>
          <w:rFonts w:hint="eastAsia"/>
        </w:rPr>
      </w:pPr>
      <w:r>
        <w:rPr>
          <w:rFonts w:hint="eastAsia"/>
        </w:rPr>
        <w:t>在美国，有若干隶属于美国能源部的从事清洁能源技术研究的国家实验室，包括劳伦斯伯克利国家实验室、国家能源技术实验室、劳伦斯利佛摩尔国家实验室、橡树岭国家实验室、及太平洋西北国家实验室等。这些国家实验室为美国清洁能源提供了源源不断的源头创新技术，其中国家可再生能源实验室更是专门专注于清洁能源研究，其尤其关注可再生能源和能源效率，在基础科学、生物质能、地热、氢能、太阳能、水利项目、风能、建筑、电气基础设施、及汽车和燃料技术等领域的创新、以及旨在培育商业化和推广方面做了大量工作。</w:t>
      </w:r>
    </w:p>
    <w:p w:rsidR="00CA619C" w:rsidRDefault="00CA619C" w:rsidP="00CA619C">
      <w:pPr>
        <w:ind w:firstLine="480"/>
        <w:rPr>
          <w:rFonts w:hint="eastAsia"/>
        </w:rPr>
      </w:pPr>
      <w:r>
        <w:rPr>
          <w:rFonts w:hint="eastAsia"/>
        </w:rPr>
        <w:t>在我国能源领域，虽曾建立过一些国家级的研发机构，但目前公共研发部门的前沿探索相对于产业部门已没有优势，甚至已落后：首先是源自</w:t>
      </w:r>
      <w:r>
        <w:rPr>
          <w:rFonts w:hint="eastAsia"/>
        </w:rPr>
        <w:t>90</w:t>
      </w:r>
      <w:r>
        <w:rPr>
          <w:rFonts w:hint="eastAsia"/>
        </w:rPr>
        <w:t>年代的改革，当时为促进各高校和院所的学术竞争与国际化的“以发表为中心”的学术绩效考核机制；其次是不少公共研发部门近年产生了以短期及直接经济回报为导向的考核文化；再者，在企业转制后一些公共研发机构变成了为个别企业利益服务，从而失去了公共研发的职能。所有这些因素都妨碍了国内公共研发机构整体的技术进步，扭曲了它们本应主要服务于社会整体进步与知识扩散的角色。</w:t>
      </w:r>
    </w:p>
    <w:p w:rsidR="00CA619C" w:rsidRDefault="00CA619C" w:rsidP="00CA619C">
      <w:pPr>
        <w:ind w:firstLine="480"/>
        <w:rPr>
          <w:rFonts w:hint="eastAsia"/>
        </w:rPr>
      </w:pPr>
      <w:r>
        <w:rPr>
          <w:rFonts w:hint="eastAsia"/>
        </w:rPr>
        <w:t>目前，我国在新兴能源能源研究与技术开发方面的公共力量已严重不足，至今没有建立起在行业内主要从事前沿研究、在全国有影响的、专业化的新兴能源公共研发机构。其直接结果是，新兴能源产业在国内基本得不到前沿技术的支撑。</w:t>
      </w:r>
    </w:p>
    <w:p w:rsidR="00CA619C" w:rsidRDefault="00CA619C" w:rsidP="00CA619C">
      <w:pPr>
        <w:ind w:firstLine="480"/>
        <w:rPr>
          <w:rFonts w:hint="eastAsia"/>
        </w:rPr>
      </w:pPr>
      <w:r>
        <w:rPr>
          <w:rFonts w:hint="eastAsia"/>
        </w:rPr>
        <w:t>公共研发机构缺失或未发挥应有的作用，已成为我国能源领域技术创新的短板。由于缺乏强大的公共研发力量支持，导致我国新兴能源产业虽然已形成了庞大的产业，但是技术革新上主要还是以引进国外的技术进行直接应用为主，而缺乏进一步创新的能力。我国必须建立新的公共研发体系，这不仅需要对原有研发机构进行加强，同时也需要设立新的公共研发机构。建立一个能源主管部门直接管理的国家新兴能源实验室，提供资金专注开展新兴能源的研发与示范，包括从基础科学研究到市场分析和系统集成，以及所有的试验或验证，并通过与其它研究机构及私营产业保持紧密合作关系，负责培育商业化和推广。国家新兴能源实验室要对一些设立在大学、国有企业等的国家级实验室或研究中心进行直接干涉和管理，所有国家级新兴能源实验室的研究成果都要通过国家新兴能源实验室进行分享。国家新兴能源实验室可以设立风能、太阳能等分行业的研究院，具体负责单个行业的研发工作。</w:t>
      </w:r>
    </w:p>
    <w:p w:rsidR="00CA619C" w:rsidRDefault="00CA619C" w:rsidP="00CA619C">
      <w:pPr>
        <w:pStyle w:val="Heading3"/>
        <w:numPr>
          <w:ilvl w:val="2"/>
          <w:numId w:val="1"/>
        </w:numPr>
        <w:tabs>
          <w:tab w:val="clear" w:pos="720"/>
        </w:tabs>
        <w:rPr>
          <w:rFonts w:hint="eastAsia"/>
        </w:rPr>
      </w:pPr>
      <w:bookmarkStart w:id="184" w:name="_Toc392853172"/>
      <w:r>
        <w:rPr>
          <w:rFonts w:hint="eastAsia"/>
        </w:rPr>
        <w:t>给中小企业技术创新创造条件</w:t>
      </w:r>
      <w:bookmarkEnd w:id="184"/>
    </w:p>
    <w:p w:rsidR="00CA619C" w:rsidRDefault="00CA619C" w:rsidP="00CA619C">
      <w:pPr>
        <w:ind w:firstLine="480"/>
        <w:rPr>
          <w:rFonts w:hint="eastAsia"/>
        </w:rPr>
      </w:pPr>
      <w:r>
        <w:rPr>
          <w:rFonts w:hint="eastAsia"/>
        </w:rPr>
        <w:t>美国很多技术创新都是由中小企业完成的，约有</w:t>
      </w:r>
      <w:r>
        <w:rPr>
          <w:rFonts w:hint="eastAsia"/>
        </w:rPr>
        <w:t>70%</w:t>
      </w:r>
      <w:r>
        <w:rPr>
          <w:rFonts w:hint="eastAsia"/>
        </w:rPr>
        <w:t>以上的创新成果都来自于中小企业，是美国的中小公司推动了新兴能源产业技术创新及商业化。例如，在近年来美国最为引以自豪的页岩气革命中，引领页岩气勘探开发技术突破的正是中小企业，如</w:t>
      </w:r>
      <w:r>
        <w:rPr>
          <w:rFonts w:hint="eastAsia"/>
        </w:rPr>
        <w:t>Michell</w:t>
      </w:r>
      <w:r>
        <w:rPr>
          <w:rFonts w:hint="eastAsia"/>
        </w:rPr>
        <w:t>能源公司和</w:t>
      </w:r>
      <w:r>
        <w:rPr>
          <w:rFonts w:hint="eastAsia"/>
        </w:rPr>
        <w:t>Devon</w:t>
      </w:r>
      <w:r>
        <w:rPr>
          <w:rFonts w:hint="eastAsia"/>
        </w:rPr>
        <w:t>能源公司等。</w:t>
      </w:r>
    </w:p>
    <w:p w:rsidR="00CA619C" w:rsidRDefault="00CA619C" w:rsidP="00CA619C">
      <w:pPr>
        <w:ind w:firstLine="480"/>
        <w:rPr>
          <w:rFonts w:hint="eastAsia"/>
        </w:rPr>
      </w:pPr>
      <w:r>
        <w:rPr>
          <w:rFonts w:hint="eastAsia"/>
        </w:rPr>
        <w:t>对于我国新兴能源产业的发展，无论是风电、光伏还是储能产业，都是在一项或一组重大技术突破的基础上，附之一个庞大的技术群而发展起来的，其后续发展还需持续的技术来源不断完善产品、建立完整的产业链，同时还需要大量细微的创新开拓增值业务、扩展边缘业务和强化产业渗透力，围绕新兴能源产业形成多层次市场。在这过程中，中小企业创新处于不可或缺的地位。他们不仅数量庞大，而且直接接触市场，能够为新兴能源产业发展提供大量的持续的技术创新来源，是建立完整产业链的主要力量，是围绕新兴能源产业开拓增值业务的主力，也是推动形成多元化、多层次市场的主角。</w:t>
      </w:r>
    </w:p>
    <w:p w:rsidR="00CA619C" w:rsidRDefault="00CA619C" w:rsidP="00CA619C">
      <w:pPr>
        <w:ind w:firstLine="480"/>
        <w:rPr>
          <w:rFonts w:hint="eastAsia"/>
        </w:rPr>
      </w:pPr>
      <w:r>
        <w:rPr>
          <w:rFonts w:hint="eastAsia"/>
        </w:rPr>
        <w:t>但目前我国新兴能源中小企业的创新发展还面临较多困难，例如：目前中国油气管网设施、输电网络均由国有企业垄断经营，由于缺乏管网设施，页岩气开采面临困难，而电网企业接纳新能源和分布式能源发展的积极性也有限，导致新能源和分布式能源发展严重受阻；中小企业研发的新技术在能源行业应用中也经常碰到层层壁垒，如民营企业生产的生物燃料在油品掺烧中受到垄断企业制约，民营企业的电力设备新产品、新技术难以进入电力、电网体系等；此外，能源技术创新的垄断还体现在大型能源国有企业垄断创新研发资源，如各行业研究院所基本被国有企业垄断，搞自成一体，封闭严重，不仅使其本身创新动力不强，而且严重导致非体制内企业难以获得共享的创新资源和公平的服务。</w:t>
      </w:r>
    </w:p>
    <w:p w:rsidR="00CA619C" w:rsidRDefault="00CA619C" w:rsidP="00CA619C">
      <w:pPr>
        <w:ind w:firstLine="480"/>
        <w:rPr>
          <w:rFonts w:hint="eastAsia"/>
        </w:rPr>
      </w:pPr>
      <w:r>
        <w:rPr>
          <w:rFonts w:hint="eastAsia"/>
        </w:rPr>
        <w:t>政府应该为中小企业的创新创造条件，最重要的就是要打破垄断，开放市场，要为中小企业提供广阔的市场空间。一方面，应在电力部门实行切实可行的措施，确保新能源和可再生能源发电优先上网，鼓励更多的企业和资金进入新能源可再生能源领域，加快新能源可再生能源的商业化进程。另一方面，打破管网垄断，促进无歧视公平入网，建立公平公开的竞争性市场环境，特别是推动社会力量投入页岩气等非常规油气的开发和产业技术进步，适时进行天然气管网改革，从制度上确保中小企业和民营企业开采非常规油气资源后能够进入油气市场。</w:t>
      </w:r>
    </w:p>
    <w:p w:rsidR="00CA619C" w:rsidRDefault="00CA619C" w:rsidP="00CA619C">
      <w:pPr>
        <w:pStyle w:val="Heading3"/>
        <w:numPr>
          <w:ilvl w:val="2"/>
          <w:numId w:val="1"/>
        </w:numPr>
        <w:tabs>
          <w:tab w:val="clear" w:pos="720"/>
        </w:tabs>
        <w:rPr>
          <w:rFonts w:hint="eastAsia"/>
        </w:rPr>
      </w:pPr>
      <w:bookmarkStart w:id="185" w:name="_Toc392853173"/>
      <w:r>
        <w:rPr>
          <w:rFonts w:hint="eastAsia"/>
        </w:rPr>
        <w:t>提升国有企业的创新动力</w:t>
      </w:r>
      <w:bookmarkEnd w:id="185"/>
    </w:p>
    <w:p w:rsidR="00CA619C" w:rsidRDefault="00CA619C" w:rsidP="00CA619C">
      <w:pPr>
        <w:ind w:firstLine="480"/>
        <w:rPr>
          <w:rFonts w:hint="eastAsia"/>
        </w:rPr>
      </w:pPr>
      <w:r>
        <w:rPr>
          <w:rFonts w:hint="eastAsia"/>
        </w:rPr>
        <w:t>我国与欧美等国一个重要的不同是我国有数量多、规模大的国有企业。能源领域是保障国家安全的重点领域，能源领域的国有企业资本雄厚，资产庞大，占据绝大部分的市场份额，具有很强的垄断地位和优越的竞争环境，但同时也垄断了大量的创新研发资源，并且封闭严重。国有企业是我国创新政策的最大受益者，国有企业本应承担替其他中国公司提供技术支持和实现新技术的商业化的重任。但国有企业在创新中的现实表现却不尽如意，不仅创新成果不及非国有企业，也没有完全承担起实现新技术商业化和提供主要技术支持的责任。例如，目前我国民营企业的电力设备新产品、新技术等难以进入电网体系的情况。目前国内研发生产风电功率预测系统的主体有中国电科院与东润环能、国电南自、华北电力大学、</w:t>
      </w:r>
      <w:r>
        <w:rPr>
          <w:rFonts w:hint="eastAsia"/>
        </w:rPr>
        <w:t>IBM</w:t>
      </w:r>
      <w:r>
        <w:rPr>
          <w:rFonts w:hint="eastAsia"/>
        </w:rPr>
        <w:t>中国研究院等，其中中国电科院与东润环能属于国家电网公司的下属企业，东润环能凭借与电科院携手推出</w:t>
      </w:r>
      <w:r>
        <w:rPr>
          <w:rFonts w:hint="eastAsia"/>
        </w:rPr>
        <w:t>WPFS VER1.0</w:t>
      </w:r>
      <w:r>
        <w:rPr>
          <w:rFonts w:hint="eastAsia"/>
        </w:rPr>
        <w:t>，加上国电南自几乎占据了整个市场。华北电力大学的产品在</w:t>
      </w:r>
      <w:r>
        <w:rPr>
          <w:rFonts w:hint="eastAsia"/>
        </w:rPr>
        <w:t>2010</w:t>
      </w:r>
      <w:r>
        <w:rPr>
          <w:rFonts w:hint="eastAsia"/>
        </w:rPr>
        <w:t>年</w:t>
      </w:r>
      <w:r>
        <w:rPr>
          <w:rFonts w:hint="eastAsia"/>
        </w:rPr>
        <w:t>7</w:t>
      </w:r>
      <w:r>
        <w:rPr>
          <w:rFonts w:hint="eastAsia"/>
        </w:rPr>
        <w:t>月</w:t>
      </w:r>
      <w:r>
        <w:rPr>
          <w:rFonts w:hint="eastAsia"/>
        </w:rPr>
        <w:t>4</w:t>
      </w:r>
      <w:r>
        <w:rPr>
          <w:rFonts w:hint="eastAsia"/>
        </w:rPr>
        <w:t>日，只是通过了由河北省科技成果转化服务中心组织的专家鉴定。而电科院的</w:t>
      </w:r>
      <w:r>
        <w:rPr>
          <w:rFonts w:hint="eastAsia"/>
        </w:rPr>
        <w:t>WPFS VER1.0</w:t>
      </w:r>
      <w:r>
        <w:rPr>
          <w:rFonts w:hint="eastAsia"/>
        </w:rPr>
        <w:t>则是通过了国家电网公司组织的验收。对于风电场唯一客户的电网公司，两者的市场影响力差距非常大。东润环能与电科院合作，采用的所有参数获得了电网公司的认可，但如果用国内其他企业的产品，就会存在参数不兼容的后果，如果用国外公司的产品，会存在泄漏我国电力机密的风险，政策上可能不允许。</w:t>
      </w:r>
      <w:r>
        <w:rPr>
          <w:rStyle w:val="FootnoteReference"/>
          <w:rFonts w:hint="eastAsia"/>
        </w:rPr>
        <w:footnoteReference w:id="25"/>
      </w:r>
    </w:p>
    <w:p w:rsidR="00CA619C" w:rsidRDefault="00CA619C" w:rsidP="00CA619C">
      <w:pPr>
        <w:ind w:firstLine="480"/>
        <w:rPr>
          <w:rFonts w:hint="eastAsia"/>
        </w:rPr>
      </w:pPr>
      <w:r>
        <w:rPr>
          <w:rFonts w:hint="eastAsia"/>
        </w:rPr>
        <w:t>国有企业的地位和责任，决定了我国必须要发挥好国有企业的创新力量和对创新的带动作用。国有企业可以垄断一定资源，但是不能垄断一切资源，特别是本应是公共的研发资源，却与个别企业利益挂钩，从而阻碍了国有企业吸收市场上的大量创新和提供创新支持的动力。因此，一是要重视其本身的创新力量，要对国有企业和依托于国有企业的研究院所进行整合、重组，建设成大型的公共研究机构，为市场提供公共的研发平台；二是要发挥国有企业对产业创新的带动作用，鼓励国有企业加大对新兴能源的投资，但同时必须要接纳市场上的技术和创新成果，不能搞封闭。</w:t>
      </w:r>
    </w:p>
    <w:p w:rsidR="00CA619C" w:rsidRDefault="00CA619C" w:rsidP="00CA619C">
      <w:pPr>
        <w:pStyle w:val="Heading2"/>
        <w:tabs>
          <w:tab w:val="clear" w:pos="575"/>
        </w:tabs>
        <w:rPr>
          <w:rFonts w:hint="eastAsia"/>
        </w:rPr>
      </w:pPr>
      <w:bookmarkStart w:id="186" w:name="_Toc392853174"/>
      <w:r>
        <w:rPr>
          <w:rFonts w:hint="eastAsia"/>
        </w:rPr>
        <w:t>构建合理的产业化路径</w:t>
      </w:r>
      <w:bookmarkEnd w:id="186"/>
    </w:p>
    <w:p w:rsidR="00CA619C" w:rsidRDefault="00CA619C" w:rsidP="00CA619C">
      <w:pPr>
        <w:ind w:firstLine="480"/>
        <w:rPr>
          <w:rFonts w:hint="eastAsia"/>
        </w:rPr>
      </w:pPr>
      <w:r>
        <w:rPr>
          <w:rFonts w:hint="eastAsia"/>
        </w:rPr>
        <w:t>创新成果的转化机制是实现新兴能源技术应用及产业发展的关键。并非最先进的技术就能产生最好的产品，也并非最好的产品就是最适合商业应用。因此，多样的产品转化渠道和高效的商业转化机制的推广是推动新兴能源技术及产业发展的必要条件之一。</w:t>
      </w:r>
    </w:p>
    <w:p w:rsidR="00CA619C" w:rsidRDefault="00CA619C" w:rsidP="00CA619C">
      <w:pPr>
        <w:pStyle w:val="Heading3"/>
        <w:numPr>
          <w:ilvl w:val="2"/>
          <w:numId w:val="1"/>
        </w:numPr>
        <w:tabs>
          <w:tab w:val="clear" w:pos="720"/>
        </w:tabs>
        <w:rPr>
          <w:rFonts w:hint="eastAsia"/>
        </w:rPr>
      </w:pPr>
      <w:bookmarkStart w:id="187" w:name="_Toc392853175"/>
      <w:r>
        <w:rPr>
          <w:rFonts w:hint="eastAsia"/>
        </w:rPr>
        <w:t>走一条基于核心技术突破的发展路径</w:t>
      </w:r>
      <w:bookmarkEnd w:id="187"/>
    </w:p>
    <w:p w:rsidR="00CA619C" w:rsidRDefault="00CA619C" w:rsidP="00CA619C">
      <w:pPr>
        <w:ind w:firstLine="480"/>
        <w:rPr>
          <w:rFonts w:hint="eastAsia"/>
        </w:rPr>
      </w:pPr>
      <w:r>
        <w:rPr>
          <w:rFonts w:hint="eastAsia"/>
        </w:rPr>
        <w:t>我国新兴能源产业的发展，主要是依靠引进国外技术，快速形成生产能力，但是这样容易产生问题。例如光伏产业，世界上率先利用太阳能发电的是发达的欧美国家和日本，我国光伏技术主要来自国外。</w:t>
      </w:r>
      <w:r>
        <w:rPr>
          <w:rFonts w:hint="eastAsia"/>
        </w:rPr>
        <w:t>2000</w:t>
      </w:r>
      <w:r>
        <w:rPr>
          <w:rFonts w:hint="eastAsia"/>
        </w:rPr>
        <w:t>年，施正荣从澳洲带着技术回国创业成立无锡尚德太阳能电力有限公司，到</w:t>
      </w:r>
      <w:r>
        <w:rPr>
          <w:rFonts w:hint="eastAsia"/>
        </w:rPr>
        <w:t>2008</w:t>
      </w:r>
      <w:r>
        <w:rPr>
          <w:rFonts w:hint="eastAsia"/>
        </w:rPr>
        <w:t>年产能达到</w:t>
      </w:r>
      <w:r>
        <w:rPr>
          <w:rFonts w:hint="eastAsia"/>
        </w:rPr>
        <w:t>1GW</w:t>
      </w:r>
      <w:r>
        <w:rPr>
          <w:rFonts w:hint="eastAsia"/>
        </w:rPr>
        <w:t>，一跃成为世界最大的晶硅组件制造商，只用了短短八年时间。特别是近几年，在地方政府的扶持下，我国光伏产业规模更是迅速扩大。</w:t>
      </w:r>
      <w:r>
        <w:rPr>
          <w:rFonts w:hint="eastAsia"/>
        </w:rPr>
        <w:t>2011</w:t>
      </w:r>
      <w:r>
        <w:rPr>
          <w:rFonts w:hint="eastAsia"/>
        </w:rPr>
        <w:t>年，全国</w:t>
      </w:r>
      <w:r>
        <w:rPr>
          <w:rFonts w:hint="eastAsia"/>
        </w:rPr>
        <w:t>31</w:t>
      </w:r>
      <w:r>
        <w:rPr>
          <w:rFonts w:hint="eastAsia"/>
        </w:rPr>
        <w:t>个省市自治区均把光伏产业列为优先扶持发展的新兴产业；</w:t>
      </w:r>
      <w:r>
        <w:rPr>
          <w:rFonts w:hint="eastAsia"/>
        </w:rPr>
        <w:t>600</w:t>
      </w:r>
      <w:r>
        <w:rPr>
          <w:rFonts w:hint="eastAsia"/>
        </w:rPr>
        <w:t>个城市中，有</w:t>
      </w:r>
      <w:r>
        <w:rPr>
          <w:rFonts w:hint="eastAsia"/>
        </w:rPr>
        <w:t>300</w:t>
      </w:r>
      <w:r>
        <w:rPr>
          <w:rFonts w:hint="eastAsia"/>
        </w:rPr>
        <w:t>个发展光伏太阳能产业，</w:t>
      </w:r>
      <w:r>
        <w:rPr>
          <w:rFonts w:hint="eastAsia"/>
        </w:rPr>
        <w:t>100</w:t>
      </w:r>
      <w:r>
        <w:rPr>
          <w:rFonts w:hint="eastAsia"/>
        </w:rPr>
        <w:t>多个建设了光伏产业基地；全球多晶硅产量</w:t>
      </w:r>
      <w:r>
        <w:rPr>
          <w:rFonts w:hint="eastAsia"/>
        </w:rPr>
        <w:t>20</w:t>
      </w:r>
      <w:r>
        <w:rPr>
          <w:rFonts w:hint="eastAsia"/>
        </w:rPr>
        <w:t>万吨，我国占近</w:t>
      </w:r>
      <w:r>
        <w:rPr>
          <w:rFonts w:hint="eastAsia"/>
        </w:rPr>
        <w:t>9</w:t>
      </w:r>
      <w:r>
        <w:rPr>
          <w:rFonts w:hint="eastAsia"/>
        </w:rPr>
        <w:t>万吨</w:t>
      </w:r>
      <w:r>
        <w:rPr>
          <w:rStyle w:val="FootnoteReference"/>
          <w:rFonts w:hint="eastAsia"/>
        </w:rPr>
        <w:footnoteReference w:id="26"/>
      </w:r>
      <w:r>
        <w:rPr>
          <w:rFonts w:hint="eastAsia"/>
        </w:rPr>
        <w:t>。但企业仓促盲目跟风上马，很快导致供需失衡，价格持续下降，利润下降，从而导致部分企业出现经营困难，一些企业甚至开始停产、半停产。</w:t>
      </w:r>
      <w:r>
        <w:rPr>
          <w:rFonts w:hint="eastAsia"/>
        </w:rPr>
        <w:t>2009</w:t>
      </w:r>
      <w:r>
        <w:rPr>
          <w:rFonts w:hint="eastAsia"/>
        </w:rPr>
        <w:t>年和</w:t>
      </w:r>
      <w:r>
        <w:rPr>
          <w:rFonts w:hint="eastAsia"/>
        </w:rPr>
        <w:t>2010</w:t>
      </w:r>
      <w:r>
        <w:rPr>
          <w:rFonts w:hint="eastAsia"/>
        </w:rPr>
        <w:t>年整个光伏行业还高速扩张，欣欣向荣，从</w:t>
      </w:r>
      <w:r>
        <w:rPr>
          <w:rFonts w:hint="eastAsia"/>
        </w:rPr>
        <w:t>2011</w:t>
      </w:r>
      <w:r>
        <w:rPr>
          <w:rFonts w:hint="eastAsia"/>
        </w:rPr>
        <w:t>年便开始急转直下，</w:t>
      </w:r>
      <w:r>
        <w:rPr>
          <w:rFonts w:hint="eastAsia"/>
        </w:rPr>
        <w:t>2012</w:t>
      </w:r>
      <w:r>
        <w:rPr>
          <w:rFonts w:hint="eastAsia"/>
        </w:rPr>
        <w:t>年全行业更是陷入集体亏损。</w:t>
      </w:r>
      <w:r>
        <w:rPr>
          <w:rFonts w:hint="eastAsia"/>
        </w:rPr>
        <w:t>2013</w:t>
      </w:r>
      <w:r>
        <w:rPr>
          <w:rFonts w:hint="eastAsia"/>
        </w:rPr>
        <w:t>年</w:t>
      </w:r>
      <w:r>
        <w:rPr>
          <w:rFonts w:hint="eastAsia"/>
        </w:rPr>
        <w:t>3</w:t>
      </w:r>
      <w:r>
        <w:rPr>
          <w:rFonts w:hint="eastAsia"/>
        </w:rPr>
        <w:t>月</w:t>
      </w:r>
      <w:r>
        <w:rPr>
          <w:rFonts w:hint="eastAsia"/>
        </w:rPr>
        <w:t>20</w:t>
      </w:r>
      <w:r>
        <w:rPr>
          <w:rFonts w:hint="eastAsia"/>
        </w:rPr>
        <w:t>日，无锡尚德宣布破产重组。</w:t>
      </w:r>
    </w:p>
    <w:p w:rsidR="00CA619C" w:rsidRDefault="00CA619C" w:rsidP="00CA619C">
      <w:pPr>
        <w:ind w:firstLine="480"/>
        <w:rPr>
          <w:rFonts w:hint="eastAsia"/>
        </w:rPr>
      </w:pPr>
      <w:r>
        <w:rPr>
          <w:rFonts w:hint="eastAsia"/>
        </w:rPr>
        <w:t>光伏行业的教训，一方面有其国际大背景，另外也与这种依靠直接引进技术、引进生产线进行规模扩张的产业化路径有关系。新兴能源产业发展不能再走这样的路子，应先有技术突破，在此基础上推进应用，形成规模化应用后，再进行新的技术突破，带动应用开发，再突破，再带动新一轮应用开发，形成一个“技术突破</w:t>
      </w:r>
      <w:r>
        <w:rPr>
          <w:rFonts w:hint="eastAsia"/>
        </w:rPr>
        <w:t>-</w:t>
      </w:r>
      <w:r>
        <w:rPr>
          <w:rFonts w:hint="eastAsia"/>
        </w:rPr>
        <w:t>产业化应用</w:t>
      </w:r>
      <w:r>
        <w:rPr>
          <w:rFonts w:hint="eastAsia"/>
        </w:rPr>
        <w:t>-</w:t>
      </w:r>
      <w:r>
        <w:rPr>
          <w:rFonts w:hint="eastAsia"/>
        </w:rPr>
        <w:t>再突破</w:t>
      </w:r>
      <w:r>
        <w:rPr>
          <w:rFonts w:hint="eastAsia"/>
        </w:rPr>
        <w:t>-</w:t>
      </w:r>
      <w:r>
        <w:rPr>
          <w:rFonts w:hint="eastAsia"/>
        </w:rPr>
        <w:t>再应用”的产业化路径。到了一定阶段时，通过技术的更新，再带动新一轮的技术投入及应用开发。</w:t>
      </w:r>
    </w:p>
    <w:p w:rsidR="00CA619C" w:rsidRDefault="00CA619C" w:rsidP="00CA619C">
      <w:pPr>
        <w:pStyle w:val="Heading3"/>
        <w:numPr>
          <w:ilvl w:val="2"/>
          <w:numId w:val="1"/>
        </w:numPr>
        <w:tabs>
          <w:tab w:val="clear" w:pos="720"/>
        </w:tabs>
        <w:rPr>
          <w:rFonts w:hint="eastAsia"/>
        </w:rPr>
      </w:pPr>
      <w:bookmarkStart w:id="188" w:name="_Toc392853176"/>
      <w:r>
        <w:rPr>
          <w:rFonts w:hint="eastAsia"/>
        </w:rPr>
        <w:t>打通产学研资之间的贯通</w:t>
      </w:r>
      <w:bookmarkEnd w:id="188"/>
    </w:p>
    <w:p w:rsidR="00CA619C" w:rsidRDefault="00CA619C" w:rsidP="00CA619C">
      <w:pPr>
        <w:ind w:firstLine="480"/>
        <w:rPr>
          <w:rFonts w:hint="eastAsia"/>
        </w:rPr>
      </w:pPr>
      <w:r>
        <w:rPr>
          <w:rFonts w:hint="eastAsia"/>
        </w:rPr>
        <w:t>“科技成果转化”这一提法是我国习惯使用的一个概念，是指一项新的科技成果被研发出来以后，后续进行试验、开发、应用、推广，最后形成新产品、新工艺、新材料甚至新产业的过程。但是目前高校的研发由于考核机制的问题和缺乏与市场对接的渠道，从而忽视市场导向，更看重论文、专著、鉴定成果和评奖，更看重理论的研究，使其大量科技成果在研发之前就没有相应的适用推广对象，更谈不上形成产业化的条件，加上缺乏资金支持，使得我国高校科技开发、成果转化和推广的案例很少，成果转化率很低。</w:t>
      </w:r>
    </w:p>
    <w:p w:rsidR="00CA619C" w:rsidRDefault="00CA619C" w:rsidP="00CA619C">
      <w:pPr>
        <w:ind w:firstLine="480"/>
        <w:rPr>
          <w:rFonts w:hint="eastAsia"/>
        </w:rPr>
      </w:pPr>
      <w:r>
        <w:rPr>
          <w:rFonts w:hint="eastAsia"/>
        </w:rPr>
        <w:t>此外，目前我国在进行一些技术研发时也往往面临这样一种情况：在确定技术目标时，这种技术对当前产业发展来说还算是新技术，但等到技术实现研发突破，再实现产业化应用时，这项技术相对于当前的国际发展现状来说就不再是新技术了，已经严重落后甚至淘汰了。</w:t>
      </w:r>
    </w:p>
    <w:p w:rsidR="00CA619C" w:rsidRDefault="00CA619C" w:rsidP="00CA619C">
      <w:pPr>
        <w:ind w:firstLine="480"/>
        <w:rPr>
          <w:rFonts w:hint="eastAsia"/>
        </w:rPr>
      </w:pPr>
      <w:r>
        <w:rPr>
          <w:rFonts w:hint="eastAsia"/>
        </w:rPr>
        <w:t>因此，要缩短技术研发与产业化的时间，就必须改变“先搞技术再推动产业化”的这种“科技成果转化”的传统路径，实现产、学、研、资本之间的全面贯通。这就必须做到两点：一是高校的研发目标要与产业化目标相符；二是让资本在产学研之间的实现全面贯通。也就是要靠市场来引导技术开发，并在研究阶段就确立这种技术的产业化目标，这样才能使研究与未来的产业化能够更好更快地实现对接。而要让产学研之间实现对接，关键的一点是要发挥资本的连续性作用。不能只是对技术研发提供资金支持，要以资本推动连贯一体的运作，使研发、产业化、资本之间实现贯通。要让研发阶段的资金投入，继续向产业化阶段延伸，继续对产业化应用进行支持，一直投资到这些技术形成产业规模或者开始实现盈利了为止。</w:t>
      </w:r>
    </w:p>
    <w:p w:rsidR="00CA619C" w:rsidRDefault="00CA619C" w:rsidP="00CA619C">
      <w:pPr>
        <w:pStyle w:val="Heading3"/>
        <w:numPr>
          <w:ilvl w:val="2"/>
          <w:numId w:val="1"/>
        </w:numPr>
        <w:tabs>
          <w:tab w:val="clear" w:pos="720"/>
        </w:tabs>
        <w:rPr>
          <w:rFonts w:hint="eastAsia"/>
        </w:rPr>
      </w:pPr>
      <w:bookmarkStart w:id="189" w:name="_Toc392853177"/>
      <w:r>
        <w:rPr>
          <w:rFonts w:hint="eastAsia"/>
        </w:rPr>
        <w:t>产业化与需求侧的发展相协调</w:t>
      </w:r>
      <w:bookmarkEnd w:id="189"/>
    </w:p>
    <w:p w:rsidR="00CA619C" w:rsidRDefault="00CA619C" w:rsidP="00CA619C">
      <w:pPr>
        <w:ind w:firstLine="480"/>
        <w:rPr>
          <w:rFonts w:hint="eastAsia"/>
        </w:rPr>
      </w:pPr>
      <w:r>
        <w:rPr>
          <w:rFonts w:hint="eastAsia"/>
        </w:rPr>
        <w:t>新兴能源技术创新要顺利实现大规模产业化，不能一味求快，还必须与需求侧的发展相协调。例如新能源与可再生能源发电要与电网发展相协调，页岩气开发要与天然气管网的发展相协调。</w:t>
      </w:r>
    </w:p>
    <w:p w:rsidR="00CA619C" w:rsidRDefault="00CA619C" w:rsidP="00CA619C">
      <w:pPr>
        <w:ind w:firstLine="480"/>
        <w:rPr>
          <w:rFonts w:hint="eastAsia"/>
        </w:rPr>
      </w:pPr>
      <w:r>
        <w:rPr>
          <w:rFonts w:hint="eastAsia"/>
        </w:rPr>
        <w:t>目前由于新能源项目审批与电网规划脱节，电网发展滞后于新能源开发，使新能源发电上网难的问题越来越突出。一方面，两种电价机制并存，造成新能源上网电价混乱；另一方面，国家对电网公司发展新能源的权利职责定位不清，电网公司发展新能源动力不足。这就造成一方面新能源建设风风火火，而另一方面电网建设却迟迟跟不上，使风电“窝风”、光伏电站“晒太阳”在所难免。截至</w:t>
      </w:r>
      <w:r>
        <w:rPr>
          <w:rFonts w:hint="eastAsia"/>
        </w:rPr>
        <w:t>2012</w:t>
      </w:r>
      <w:r>
        <w:rPr>
          <w:rFonts w:hint="eastAsia"/>
        </w:rPr>
        <w:t>年底，内蒙古全区电力装机</w:t>
      </w:r>
      <w:r>
        <w:rPr>
          <w:rFonts w:hint="eastAsia"/>
        </w:rPr>
        <w:t>7828</w:t>
      </w:r>
      <w:r>
        <w:rPr>
          <w:rFonts w:hint="eastAsia"/>
        </w:rPr>
        <w:t>万千瓦，其中风电装机</w:t>
      </w:r>
      <w:r>
        <w:rPr>
          <w:rFonts w:hint="eastAsia"/>
        </w:rPr>
        <w:t>1692</w:t>
      </w:r>
      <w:r>
        <w:rPr>
          <w:rFonts w:hint="eastAsia"/>
        </w:rPr>
        <w:t>万千瓦，外送电量占全国近</w:t>
      </w:r>
      <w:r>
        <w:rPr>
          <w:rFonts w:hint="eastAsia"/>
        </w:rPr>
        <w:t>1/5</w:t>
      </w:r>
      <w:r>
        <w:rPr>
          <w:rFonts w:hint="eastAsia"/>
        </w:rPr>
        <w:t>。但是，由于电力外送通道不畅，自身用电负荷不足，电力装机富余</w:t>
      </w:r>
      <w:r>
        <w:rPr>
          <w:rFonts w:hint="eastAsia"/>
        </w:rPr>
        <w:t>800</w:t>
      </w:r>
      <w:r>
        <w:rPr>
          <w:rFonts w:hint="eastAsia"/>
        </w:rPr>
        <w:t>多万千瓦，风电弃风率超过</w:t>
      </w:r>
      <w:r>
        <w:rPr>
          <w:rFonts w:hint="eastAsia"/>
        </w:rPr>
        <w:t>20%</w:t>
      </w:r>
      <w:r>
        <w:rPr>
          <w:rFonts w:hint="eastAsia"/>
        </w:rPr>
        <w:t>。</w:t>
      </w:r>
    </w:p>
    <w:p w:rsidR="00CA619C" w:rsidRDefault="00CA619C" w:rsidP="00CA619C">
      <w:pPr>
        <w:ind w:firstLine="480"/>
        <w:rPr>
          <w:rFonts w:hint="eastAsia"/>
        </w:rPr>
      </w:pPr>
      <w:r>
        <w:rPr>
          <w:rFonts w:hint="eastAsia"/>
        </w:rPr>
        <w:t>新兴能源产业的发展与汽车、彩电等产业不同。汽车和彩电等只要制造出来产品，然后进行营销就可以了，而新兴能源的发展和利用，则要通过电网或管网来实现，风电、光伏发电必须经过电网，页岩气则必须经过天然气管网。所以从一定程度上来讲，电网、管网的建设和发展决定了新兴能源产业发展的发展、进程和规模等。</w:t>
      </w:r>
    </w:p>
    <w:p w:rsidR="00CA619C" w:rsidRDefault="00CA619C" w:rsidP="00CA619C">
      <w:pPr>
        <w:ind w:firstLine="480"/>
        <w:rPr>
          <w:rFonts w:hint="eastAsia"/>
        </w:rPr>
      </w:pPr>
      <w:r>
        <w:rPr>
          <w:rFonts w:hint="eastAsia"/>
        </w:rPr>
        <w:t>所以，可再生能源的特征决定了其发展从一开始就必须考虑需求侧，发展新能源和可再生能源必须考虑电网的因素，发展页岩气则必须考虑管网因素，而不能避开需求侧闹革命，也必须同时推动电网和管网的建设和发展。目前新兴能源产业在我国尚处于发展初期，发展规模还不大，一些利益关系也较易平衡。在大范围电力改革和油气改革推进难的情况下，可考虑在新兴能源管理体制改革方面先行一步。尽快为新兴能源发展创造好的体制环境，及时调整发展规划，做到新兴能源发展与需求侧的有机统一，为真正落实好新兴能源的发展规划创造条件。</w:t>
      </w:r>
    </w:p>
    <w:p w:rsidR="00CA619C" w:rsidRDefault="00CA619C" w:rsidP="00CA619C">
      <w:pPr>
        <w:pStyle w:val="Heading3"/>
        <w:numPr>
          <w:ilvl w:val="2"/>
          <w:numId w:val="1"/>
        </w:numPr>
        <w:tabs>
          <w:tab w:val="clear" w:pos="720"/>
        </w:tabs>
        <w:rPr>
          <w:rFonts w:hint="eastAsia"/>
        </w:rPr>
      </w:pPr>
      <w:bookmarkStart w:id="190" w:name="_Toc392853178"/>
      <w:r>
        <w:rPr>
          <w:rFonts w:hint="eastAsia"/>
        </w:rPr>
        <w:t>依靠市场的选择机制</w:t>
      </w:r>
      <w:bookmarkEnd w:id="190"/>
    </w:p>
    <w:p w:rsidR="00CA619C" w:rsidRDefault="00CA619C" w:rsidP="00CA619C">
      <w:pPr>
        <w:ind w:firstLine="480"/>
        <w:rPr>
          <w:rFonts w:hint="eastAsia"/>
        </w:rPr>
      </w:pPr>
      <w:r>
        <w:rPr>
          <w:rFonts w:hint="eastAsia"/>
        </w:rPr>
        <w:t>要使新兴能源技术创新成功实现产业化，需要打破垄断，开放市场，更多地依靠市场的选择机制。从美国实现储能技术在电力系统的应用来看，一个主要原因就在于美国自上个世纪</w:t>
      </w:r>
      <w:r>
        <w:rPr>
          <w:rFonts w:hint="eastAsia"/>
        </w:rPr>
        <w:t>70</w:t>
      </w:r>
      <w:r>
        <w:rPr>
          <w:rFonts w:hint="eastAsia"/>
        </w:rPr>
        <w:t>年代末开始，通过立法打破了电力市场的垄断局面，逐渐形成或者正在发展成为有组织的区域性电力市场，并形成了基本结构类似由能量市场（日前及实时现货市场）、辅助服务市场、容量市场和金融套利市场等组成的电力批发市场。而我国的电力体制改革还没有完成，市场化的电力市场环境还没有建立起来，就使得风电、光伏等新能源的发展受到限制。</w:t>
      </w:r>
    </w:p>
    <w:p w:rsidR="00CA619C" w:rsidRDefault="00CA619C" w:rsidP="00CA619C">
      <w:pPr>
        <w:ind w:firstLine="480"/>
        <w:rPr>
          <w:rFonts w:hint="eastAsia"/>
        </w:rPr>
      </w:pPr>
      <w:r>
        <w:rPr>
          <w:rFonts w:hint="eastAsia"/>
        </w:rPr>
        <w:t>十八届三中全会通过的改革决议中强调，要“使市场在资源配置中起决定性作用”。</w:t>
      </w:r>
      <w:r>
        <w:rPr>
          <w:rFonts w:hint="eastAsia"/>
        </w:rPr>
        <w:t>2004</w:t>
      </w:r>
      <w:r>
        <w:rPr>
          <w:rFonts w:hint="eastAsia"/>
        </w:rPr>
        <w:t>年，风电产业在我国刚刚起步，只占全世界风电的</w:t>
      </w:r>
      <w:r>
        <w:rPr>
          <w:rFonts w:hint="eastAsia"/>
        </w:rPr>
        <w:t>1.66%</w:t>
      </w:r>
      <w:r>
        <w:rPr>
          <w:rFonts w:hint="eastAsia"/>
        </w:rPr>
        <w:t>，当时的风电装备也几乎全部从国外进口，而风力发电的最低价格是</w:t>
      </w:r>
      <w:r>
        <w:rPr>
          <w:rFonts w:hint="eastAsia"/>
        </w:rPr>
        <w:t>0.8</w:t>
      </w:r>
      <w:r>
        <w:rPr>
          <w:rFonts w:hint="eastAsia"/>
        </w:rPr>
        <w:t>元</w:t>
      </w:r>
      <w:r>
        <w:rPr>
          <w:rFonts w:hint="eastAsia"/>
        </w:rPr>
        <w:t>/</w:t>
      </w:r>
      <w:r>
        <w:rPr>
          <w:rFonts w:hint="eastAsia"/>
        </w:rPr>
        <w:t>度，最高达到</w:t>
      </w:r>
      <w:r>
        <w:rPr>
          <w:rFonts w:hint="eastAsia"/>
        </w:rPr>
        <w:t>2.5</w:t>
      </w:r>
      <w:r>
        <w:rPr>
          <w:rFonts w:hint="eastAsia"/>
        </w:rPr>
        <w:t>元</w:t>
      </w:r>
      <w:r>
        <w:rPr>
          <w:rFonts w:hint="eastAsia"/>
        </w:rPr>
        <w:t>/</w:t>
      </w:r>
      <w:r>
        <w:rPr>
          <w:rFonts w:hint="eastAsia"/>
        </w:rPr>
        <w:t>度。这个价格并不能为市场接受，使风电成为有竞争力的能源。但在引入市场竞争机制后，通过竞争引导价格来促进风电行业的发展，目前风电上网电价已能与煤电竞争。而且风电上网电价的下降也并没有导致风电企业无利可赚，反而还提高了企业的竞争力。根据各公司的年报披露数据显示，华能新能源</w:t>
      </w:r>
      <w:r>
        <w:rPr>
          <w:rFonts w:hint="eastAsia"/>
        </w:rPr>
        <w:t>2013</w:t>
      </w:r>
      <w:r>
        <w:rPr>
          <w:rFonts w:hint="eastAsia"/>
        </w:rPr>
        <w:t>年上半年的销售收入达到</w:t>
      </w:r>
      <w:r>
        <w:rPr>
          <w:rFonts w:hint="eastAsia"/>
        </w:rPr>
        <w:t>28.66</w:t>
      </w:r>
      <w:r>
        <w:rPr>
          <w:rFonts w:hint="eastAsia"/>
        </w:rPr>
        <w:t>亿元，比去年同期增长了</w:t>
      </w:r>
      <w:r>
        <w:rPr>
          <w:rFonts w:hint="eastAsia"/>
        </w:rPr>
        <w:t>58.4%</w:t>
      </w:r>
      <w:r>
        <w:rPr>
          <w:rFonts w:hint="eastAsia"/>
        </w:rPr>
        <w:t>，其中利润是</w:t>
      </w:r>
      <w:r>
        <w:rPr>
          <w:rFonts w:hint="eastAsia"/>
        </w:rPr>
        <w:t>6.68</w:t>
      </w:r>
      <w:r>
        <w:rPr>
          <w:rFonts w:hint="eastAsia"/>
        </w:rPr>
        <w:t>亿元，比</w:t>
      </w:r>
      <w:r>
        <w:rPr>
          <w:rFonts w:hint="eastAsia"/>
        </w:rPr>
        <w:t>2012</w:t>
      </w:r>
      <w:r>
        <w:rPr>
          <w:rFonts w:hint="eastAsia"/>
        </w:rPr>
        <w:t>年同期增长了</w:t>
      </w:r>
      <w:r>
        <w:rPr>
          <w:rFonts w:hint="eastAsia"/>
        </w:rPr>
        <w:t>141.3%</w:t>
      </w:r>
      <w:r>
        <w:rPr>
          <w:rFonts w:hint="eastAsia"/>
        </w:rPr>
        <w:t>；中广核风力发电部分</w:t>
      </w:r>
      <w:r>
        <w:rPr>
          <w:rFonts w:hint="eastAsia"/>
        </w:rPr>
        <w:t>2013</w:t>
      </w:r>
      <w:r>
        <w:rPr>
          <w:rFonts w:hint="eastAsia"/>
        </w:rPr>
        <w:t>年也赢利</w:t>
      </w:r>
      <w:r>
        <w:rPr>
          <w:rFonts w:hint="eastAsia"/>
        </w:rPr>
        <w:t>9</w:t>
      </w:r>
      <w:r>
        <w:rPr>
          <w:rFonts w:hint="eastAsia"/>
        </w:rPr>
        <w:t>亿元。这些成绩的取得正是市场机制在发挥作用。民营企业不仅没有退出风电市场，反而扮演了很重要的角色。在风电领域，国企、民营企业在同一起跑线上进行竞争。尤其是风力发电设备制造企业，随着我国制造能力的增强，同类企业的竞争非常激烈，虽然一定程度的价格竞争带来风电设备制造商的利润下降，但是激烈的竞争也降低了风电的投资成本，从而促进整个风电制造业的技术进步和成本下降，并使我国风电制造走向国际市场。</w:t>
      </w:r>
      <w:r>
        <w:rPr>
          <w:rFonts w:hint="eastAsia"/>
        </w:rPr>
        <w:t xml:space="preserve"> </w:t>
      </w:r>
    </w:p>
    <w:p w:rsidR="00CA619C" w:rsidRDefault="00CA619C" w:rsidP="00CA619C">
      <w:pPr>
        <w:ind w:firstLine="480"/>
        <w:rPr>
          <w:rFonts w:hint="eastAsia"/>
        </w:rPr>
      </w:pPr>
      <w:r>
        <w:rPr>
          <w:rFonts w:hint="eastAsia"/>
        </w:rPr>
        <w:t>而在太阳能发电领域，由于太阳能发电和风力发电略有不同，总量上也没有风电大，上网电价比风电要高，因此太阳能发电在没有补贴的情况下要做到有竞争力难度可能要大一些。当前，我国太阳能光伏实行的是分区域标杆上网电价政策，应该进一步引入竞争机制，辅以一定的政府扶持政策，让市场来发现价格，让价格反映市场的情况，也同样能促进太阳能发电行业的技术进步和成本下降。</w:t>
      </w:r>
    </w:p>
    <w:p w:rsidR="00CA619C" w:rsidRDefault="00CA619C" w:rsidP="00CA619C">
      <w:pPr>
        <w:pStyle w:val="Heading3"/>
        <w:numPr>
          <w:ilvl w:val="2"/>
          <w:numId w:val="1"/>
        </w:numPr>
        <w:tabs>
          <w:tab w:val="clear" w:pos="720"/>
        </w:tabs>
        <w:rPr>
          <w:rFonts w:hint="eastAsia"/>
        </w:rPr>
      </w:pPr>
      <w:bookmarkStart w:id="191" w:name="_Toc392853179"/>
      <w:r>
        <w:rPr>
          <w:rFonts w:hint="eastAsia"/>
        </w:rPr>
        <w:t>新兴能源产业化与商业模式创新互动协调</w:t>
      </w:r>
      <w:bookmarkEnd w:id="191"/>
    </w:p>
    <w:p w:rsidR="00CA619C" w:rsidRDefault="00CA619C" w:rsidP="00CA619C">
      <w:pPr>
        <w:ind w:firstLine="480"/>
        <w:rPr>
          <w:rFonts w:hint="eastAsia"/>
        </w:rPr>
      </w:pPr>
      <w:r>
        <w:rPr>
          <w:rFonts w:hint="eastAsia"/>
        </w:rPr>
        <w:t>在工业革命成长的初期，商业模式的创新可以拯救一个产业，可以拯救一个技术，或者说甚至其重要性要大于技术的创新。</w:t>
      </w:r>
      <w:r>
        <w:rPr>
          <w:rFonts w:hint="eastAsia"/>
        </w:rPr>
        <w:t xml:space="preserve"> </w:t>
      </w:r>
      <w:r>
        <w:rPr>
          <w:rFonts w:hint="eastAsia"/>
        </w:rPr>
        <w:t>所以，商业的快速创新，使整个的技术进步的节奏加快了，这是过去的工业革命时代所不具备的一个特点。抱定一个技术，抱定一个产品，试图来获得持久利润的时代，在新的工业革命很难见到，要不断地推进技术的更新和进步，而技术进步又必须快速地对接产业化。那么，实现这种对接就要靠商业模式的创新，或者是商业的创新。</w:t>
      </w:r>
    </w:p>
    <w:p w:rsidR="00CA619C" w:rsidRDefault="00CA619C" w:rsidP="00CA619C">
      <w:pPr>
        <w:ind w:firstLine="480"/>
        <w:rPr>
          <w:rFonts w:hint="eastAsia"/>
        </w:rPr>
      </w:pPr>
      <w:r>
        <w:rPr>
          <w:rFonts w:hint="eastAsia"/>
        </w:rPr>
        <w:t>拿储能来说，储能产品进入电力市场，像其他新技术产品一样，往往是基于其在电力系统中多个环节的积极作用，但由于成本较高、材料等因素的限制，也往往在电力系统中无法与传统能源获得公平的竞争，使商业化应用障碍重重。但从储能在电力系统中的作用及功能来看，其在发电、输配以及终端用户都具备应用及盈利机会，一旦成本允许，在一个相对完备与理想的电力市场环境中则可以达到全面商业化运营。在美国，以飞轮储能和化学电池为主的储能产品，在不同的区域电力市场中已经实现了商业化运营。根据各区域电力市场的规则，目前这些电站主要以提供调频服务获取利益，且市场的反馈显示这些项目在响应速度、准确性方面都非常出色，且已经可以与传统调频资源相竞争。而在开放、竞争相对公平的</w:t>
      </w:r>
      <w:r>
        <w:rPr>
          <w:rFonts w:hint="eastAsia"/>
        </w:rPr>
        <w:t>PJM</w:t>
      </w:r>
      <w:r>
        <w:rPr>
          <w:rFonts w:hint="eastAsia"/>
        </w:rPr>
        <w:t>电力市场中，储能则依托需求波动带来的电价波动，也有了套利的良机，利用在电价低时购买并储存能量，在电价高时售出能量。</w:t>
      </w:r>
    </w:p>
    <w:p w:rsidR="00CA619C" w:rsidRDefault="00CA619C" w:rsidP="00CA619C">
      <w:pPr>
        <w:ind w:firstLine="480"/>
        <w:rPr>
          <w:rFonts w:hint="eastAsia"/>
        </w:rPr>
      </w:pPr>
      <w:r>
        <w:rPr>
          <w:rFonts w:hint="eastAsia"/>
        </w:rPr>
        <w:t>因此，虽然当前加快推动新兴能源产业化从根本上是要立足于技术突破，但短期内，在技术无法实现突破性进展的情况下，通过商业模式的创新来解决新兴能源发展所遇到的难题就显得尤为重要。电力、能源不过是一种商品，页岩气、风电、光伏发电、储能在本质上也是商品，对于新兴能源可用的商业模式，只要符合市场规律，就可能有多种商业模式选择，也可以多种商业模式组合。一切普通商品具有的商业模式，都有可能被新兴能源借鉴运用。新兴能源产业的新技术产业与商业模式紧密结合起来，例如：</w:t>
      </w:r>
    </w:p>
    <w:p w:rsidR="00CA619C" w:rsidRDefault="00CA619C" w:rsidP="00CA619C">
      <w:pPr>
        <w:ind w:firstLine="480"/>
        <w:rPr>
          <w:rFonts w:hint="eastAsia"/>
        </w:rPr>
      </w:pPr>
      <w:r>
        <w:rPr>
          <w:rFonts w:hint="eastAsia"/>
        </w:rPr>
        <w:t>（</w:t>
      </w:r>
      <w:r>
        <w:rPr>
          <w:rFonts w:hint="eastAsia"/>
        </w:rPr>
        <w:t>1</w:t>
      </w:r>
      <w:r>
        <w:rPr>
          <w:rFonts w:hint="eastAsia"/>
        </w:rPr>
        <w:t>）页岩气，不仅可以进入管网以常规管道天然气的模式进行运作，也可以就地发电，作为分布式能源加以利用。</w:t>
      </w:r>
    </w:p>
    <w:p w:rsidR="00CA619C" w:rsidRDefault="00CA619C" w:rsidP="00CA619C">
      <w:pPr>
        <w:ind w:firstLine="480"/>
        <w:rPr>
          <w:rFonts w:hint="eastAsia"/>
        </w:rPr>
      </w:pPr>
      <w:r>
        <w:rPr>
          <w:rFonts w:hint="eastAsia"/>
        </w:rPr>
        <w:t>（</w:t>
      </w:r>
      <w:r>
        <w:rPr>
          <w:rFonts w:hint="eastAsia"/>
        </w:rPr>
        <w:t>2</w:t>
      </w:r>
      <w:r>
        <w:rPr>
          <w:rFonts w:hint="eastAsia"/>
        </w:rPr>
        <w:t>）风电不仅可以发展大风机为主的集中式大型风电场，也可以发展中小型风机的分布式利用。</w:t>
      </w:r>
    </w:p>
    <w:p w:rsidR="00CA619C" w:rsidRDefault="00CA619C" w:rsidP="00CA619C">
      <w:pPr>
        <w:ind w:firstLine="480"/>
        <w:rPr>
          <w:rFonts w:hint="eastAsia"/>
        </w:rPr>
      </w:pPr>
      <w:r>
        <w:rPr>
          <w:rFonts w:hint="eastAsia"/>
        </w:rPr>
        <w:t>（</w:t>
      </w:r>
      <w:r>
        <w:rPr>
          <w:rFonts w:hint="eastAsia"/>
        </w:rPr>
        <w:t>3</w:t>
      </w:r>
      <w:r>
        <w:rPr>
          <w:rFonts w:hint="eastAsia"/>
        </w:rPr>
        <w:t>）光伏发电更是特殊，不仅可发展大型光伏发电站，也可以发展商用屋顶或个人屋顶分布式发电，而在发展分布式利用的时候，就完全完全可以把它作为一种普通商品，只是完善配套的技术服务措施，做好技术咨询和服务工作就行了。</w:t>
      </w:r>
    </w:p>
    <w:p w:rsidR="00CA619C" w:rsidRDefault="00CA619C" w:rsidP="00CA619C">
      <w:pPr>
        <w:ind w:firstLine="480"/>
        <w:rPr>
          <w:rFonts w:hint="eastAsia"/>
        </w:rPr>
      </w:pPr>
      <w:r>
        <w:rPr>
          <w:rFonts w:hint="eastAsia"/>
        </w:rPr>
        <w:t>（</w:t>
      </w:r>
      <w:r>
        <w:rPr>
          <w:rFonts w:hint="eastAsia"/>
        </w:rPr>
        <w:t>4</w:t>
      </w:r>
      <w:r>
        <w:rPr>
          <w:rFonts w:hint="eastAsia"/>
        </w:rPr>
        <w:t>）对于储能来说，由于应用广泛，可采用的商业模式则更多，供给侧、电网侧和用户侧都可以利用：供给侧主要指可作为可再生能源发电商，如风电场、太阳光伏电站的电能储存装置，对于其提高电能质量或利用峰谷电价差盈利都有好处；在电网侧利用储能则可提高系统安全和提供优质的输配电服务，另外也同样可以利用电力供应和负荷需求不匹配而引起的峰谷价差来套利；而在用户侧，特别是如高耗能企业、大型商业建筑等对电价比较敏感的工业或商业的用电大户，在用电负荷低谷期，电价较低时储电，在负荷高峰、电价较高时放电自用，不仅可以保证自身用电，如果采取净电表法，还可以实现盈利。</w:t>
      </w:r>
    </w:p>
    <w:p w:rsidR="00CA619C" w:rsidRDefault="00CA619C" w:rsidP="00CA619C">
      <w:pPr>
        <w:ind w:firstLine="480"/>
        <w:rPr>
          <w:rFonts w:hint="eastAsia"/>
        </w:rPr>
      </w:pPr>
    </w:p>
    <w:p w:rsidR="00CA619C" w:rsidRDefault="00CA619C" w:rsidP="00CA619C">
      <w:pPr>
        <w:pStyle w:val="Heading2"/>
        <w:tabs>
          <w:tab w:val="clear" w:pos="575"/>
        </w:tabs>
        <w:rPr>
          <w:rFonts w:hint="eastAsia"/>
        </w:rPr>
      </w:pPr>
      <w:bookmarkStart w:id="192" w:name="_Toc392853180"/>
      <w:r>
        <w:rPr>
          <w:rFonts w:hint="eastAsia"/>
        </w:rPr>
        <w:t>提供全面的技术创新服务</w:t>
      </w:r>
      <w:bookmarkEnd w:id="192"/>
    </w:p>
    <w:p w:rsidR="00CA619C" w:rsidRDefault="00CA619C" w:rsidP="00CA619C">
      <w:pPr>
        <w:ind w:firstLine="480"/>
        <w:rPr>
          <w:rFonts w:hint="eastAsia"/>
        </w:rPr>
      </w:pPr>
      <w:r>
        <w:rPr>
          <w:rFonts w:hint="eastAsia"/>
        </w:rPr>
        <w:t>一个相对宽松的市场对于商业模型的创新必不可少。使先进的技术应用和优秀的商业运作为社会创造最大的价值，需要创造一个健康的技术创新服务体系，同时通过投融资机制、行业标准、公平市场竞争规则的引导，以及培养和积累对技术产品化和产品商业化有专业经验的人才队伍才能真正推动新兴能源产业乃至经济整体产生实质性的增长。</w:t>
      </w:r>
    </w:p>
    <w:p w:rsidR="00CA619C" w:rsidRDefault="00CA619C" w:rsidP="00CA619C">
      <w:pPr>
        <w:pStyle w:val="Heading3"/>
        <w:numPr>
          <w:ilvl w:val="2"/>
          <w:numId w:val="1"/>
        </w:numPr>
        <w:tabs>
          <w:tab w:val="clear" w:pos="720"/>
        </w:tabs>
        <w:rPr>
          <w:rFonts w:hint="eastAsia"/>
        </w:rPr>
      </w:pPr>
      <w:bookmarkStart w:id="193" w:name="_Toc392853181"/>
      <w:r>
        <w:rPr>
          <w:rFonts w:hint="eastAsia"/>
        </w:rPr>
        <w:t>提供顺畅的融资支持</w:t>
      </w:r>
      <w:bookmarkEnd w:id="193"/>
    </w:p>
    <w:p w:rsidR="00CA619C" w:rsidRDefault="00CA619C" w:rsidP="00CA619C">
      <w:pPr>
        <w:ind w:firstLine="480"/>
        <w:rPr>
          <w:rFonts w:hint="eastAsia"/>
        </w:rPr>
      </w:pPr>
      <w:r>
        <w:rPr>
          <w:rFonts w:hint="eastAsia"/>
        </w:rPr>
        <w:t>能源是发展国民经济的命脉，是重要的国际战略性资源；而金融是现代经济的核心，是资金运动的中介，是宏观经济调控的重要杠杆。一方面，能源的发展离不开金融的支持。作为资本密集型行业，能源的开发建设需要巨额的资金，而且能源的勘探和研发具有高风险、高回报的特点，因此能源的开发和发展需要巨额的融资需求和多元化金融服务，必须要有政府的扶持，而且更离不开包括银行信贷、证券、保险、基金、信托、金融租赁等在内的金融系统的支持。另一方面，能源的发展也能为金融带来新的商机。</w:t>
      </w:r>
    </w:p>
    <w:p w:rsidR="00CA619C" w:rsidRDefault="00CA619C" w:rsidP="00CA619C">
      <w:pPr>
        <w:ind w:firstLine="480"/>
        <w:rPr>
          <w:rFonts w:hint="eastAsia"/>
        </w:rPr>
      </w:pPr>
      <w:r>
        <w:rPr>
          <w:rFonts w:hint="eastAsia"/>
        </w:rPr>
        <w:t>因此，能源的发展与金融密不可分，能源问题实际上在很大程度上是金融问题。目前，我国新兴能源领域，企业融资渠道相对单一，融资集中于龙头企业，产业链中的中小企业融资较困难；由于商业银行对新兴能源仍采取了谨慎或限制的授信政策，信贷支持有限，加上不完善的资本市场制约，许多正处于发展初期的企业，很难取得上市资格，导致企业融资主要依赖于传统的信贷方式，融资方式也比较单一；金融服务理念相对滞后，支持企业发展的措施不配套，金融生态环境有待改良，金融支持的范围相对较窄，中小企业的担保不足的问题未能解决，成为制约其银行授信的瓶颈障碍。</w:t>
      </w:r>
    </w:p>
    <w:p w:rsidR="00CA619C" w:rsidRDefault="00CA619C" w:rsidP="00CA619C">
      <w:pPr>
        <w:ind w:firstLine="480"/>
        <w:rPr>
          <w:rFonts w:hint="eastAsia"/>
        </w:rPr>
      </w:pPr>
      <w:r>
        <w:rPr>
          <w:rFonts w:hint="eastAsia"/>
        </w:rPr>
        <w:t>应当加大风险资本对新兴能源产业的投资力度，加大银行对新兴能源产业的信贷支持力度，加大直接融资对新兴能源产业的支持力度。具体地，在新兴能源产业的不同发展阶段，金融介入的形式及发挥的作用也应不尽相同。在新兴能源技术的基础研发阶段，主要是以政府资金支持、自有资金和社会融资为主，并主要以市场竞争来选择技术支持或投资方向。到了技术应用阶段，则主要依靠金融资本和大量社会资金支持，主要包括风险投资、私募股权基金、能源产业基金等。这些资金介入后，侧重发挥资本市场的作用，即允许有能力的企业先行上市，允许其发行债券、股票等，以解决资金不足问题。而到了大规模应用阶段，风险投资则可以撤出，这时银行等金融机构应作为主要的融资平台，银行要通过担保、贷款等方式发挥杠杆作用，进一步推动新兴能源技术大规模应用。同时，该阶段还应争取到产业基金和社会投资者的融资支持，并允许采用资产证券化，即允许企业用未来的收益进行前期抵押贷款及融资。例如，我国的页岩气开发就可以在前期勘探开发阶段用未来的产出气量做抵押贷款。</w:t>
      </w:r>
    </w:p>
    <w:p w:rsidR="00CA619C" w:rsidRDefault="00CA619C" w:rsidP="00CA619C">
      <w:pPr>
        <w:pStyle w:val="Heading3"/>
        <w:numPr>
          <w:ilvl w:val="2"/>
          <w:numId w:val="1"/>
        </w:numPr>
        <w:tabs>
          <w:tab w:val="clear" w:pos="720"/>
        </w:tabs>
        <w:rPr>
          <w:rFonts w:hint="eastAsia"/>
        </w:rPr>
      </w:pPr>
      <w:bookmarkStart w:id="194" w:name="_Toc392853182"/>
      <w:r>
        <w:rPr>
          <w:rFonts w:hint="eastAsia"/>
        </w:rPr>
        <w:t>建立新兴能源标准，完善机制</w:t>
      </w:r>
      <w:bookmarkEnd w:id="194"/>
    </w:p>
    <w:p w:rsidR="00CA619C" w:rsidRDefault="00CA619C" w:rsidP="00CA619C">
      <w:pPr>
        <w:ind w:firstLine="480"/>
        <w:rPr>
          <w:rFonts w:hint="eastAsia"/>
        </w:rPr>
      </w:pPr>
      <w:r>
        <w:rPr>
          <w:rFonts w:hint="eastAsia"/>
        </w:rPr>
        <w:t>技术标准对于引导产业技术进步起着十分重要的作用。目前，中国一些新兴能源产业技术标准滞后，部分行业节能环保标准相对较低，且存在标准执行不严的现象，不利于技术创新。例如：正欲被列为战略性新兴产业的页岩气产业，虽然页岩气标准化技术委员会已成立，但相关标准体系并未建立，其近期工作目标是通过</w:t>
      </w:r>
      <w:r>
        <w:rPr>
          <w:rFonts w:hint="eastAsia"/>
        </w:rPr>
        <w:t>3</w:t>
      </w:r>
      <w:r>
        <w:rPr>
          <w:rFonts w:hint="eastAsia"/>
        </w:rPr>
        <w:t>至</w:t>
      </w:r>
      <w:r>
        <w:rPr>
          <w:rFonts w:hint="eastAsia"/>
        </w:rPr>
        <w:t>5</w:t>
      </w:r>
      <w:r>
        <w:rPr>
          <w:rFonts w:hint="eastAsia"/>
        </w:rPr>
        <w:t>年努力，基本建成国内页岩气全产业链标准体系。而《页岩气产业政策》规定页岩气勘探开发生产活动必须符合现行页岩气相关技术标准和规范，因此，标准的缺失也必然会影响到现阶段的页岩气产业技术创新。我国光伏标准规范体系虽然基本形成，现行和在研光伏标准数量达到一定规模，基本覆盖了光伏产业的主流产品，但也存在标准修订速度过慢等一些问题。虽然一些行业急需的标准经过努力已获得成功立项，但是由于标准研制周期过长，不能及时发布实施为行业所用，往往在一定时期内表现为产业标准缺失。我国在风电发展的初期时，由于风机制造标准缺失，风机制造门槛儿低。加上我国风电采用的风机制造厂商众多、品牌众多，从而生产出来各式各样质量参差不齐的产品。由于标准的缺失，导致</w:t>
      </w:r>
      <w:r>
        <w:rPr>
          <w:rFonts w:hint="eastAsia"/>
        </w:rPr>
        <w:t>2009</w:t>
      </w:r>
      <w:r>
        <w:rPr>
          <w:rFonts w:hint="eastAsia"/>
        </w:rPr>
        <w:t>年以前生产的风机基本上没有低电压穿越、高电压穿越这些常规发电机组都有的功能。而且风电厂既没有控制系统，也不和调度相连，互相信息不通，风机不可控、不可测。既给系统安全运行带来隐患，也给风电厂自身的效益带来很大的影响，并直接导致了</w:t>
      </w:r>
      <w:r>
        <w:rPr>
          <w:rFonts w:hint="eastAsia"/>
        </w:rPr>
        <w:t>2011</w:t>
      </w:r>
      <w:r>
        <w:rPr>
          <w:rFonts w:hint="eastAsia"/>
        </w:rPr>
        <w:t>年多起大面积脱网事故的发生。目前中国新兴能源产业呈“爆发式”增长，很多产品从研制到批量生产周期太短，产品研制中的问题在批量生产之前没有充分暴露和有效解决，加上标准缺失、未经严格检测就被大量投放市场，有可能出现大面积设备故障，造成重大损失。</w:t>
      </w:r>
    </w:p>
    <w:p w:rsidR="00CA619C" w:rsidRDefault="00CA619C" w:rsidP="00CA619C">
      <w:pPr>
        <w:ind w:firstLine="480"/>
        <w:rPr>
          <w:rFonts w:hint="eastAsia"/>
        </w:rPr>
      </w:pPr>
      <w:r>
        <w:rPr>
          <w:rFonts w:hint="eastAsia"/>
        </w:rPr>
        <w:t>标准是驱动可再生能源发展的非常重要的政策工具，制定及时和有强制性的标准会极大促进新兴能源产业的发展。在美国，为保证小型风力发电顺利上网，美国联邦能源管理委员会对容量小于</w:t>
      </w:r>
      <w:r>
        <w:rPr>
          <w:rFonts w:hint="eastAsia"/>
        </w:rPr>
        <w:t>20MW</w:t>
      </w:r>
      <w:r>
        <w:rPr>
          <w:rFonts w:hint="eastAsia"/>
        </w:rPr>
        <w:t>的小型发电机组专门制定了并网标准。该标准包括小机组联网程序以及小机组联网协议，联网协议明确界定了谁应该为小机组联网发生的电网改造费用买单。在该标准出台后，约有</w:t>
      </w:r>
      <w:r>
        <w:rPr>
          <w:rFonts w:hint="eastAsia"/>
        </w:rPr>
        <w:t>40</w:t>
      </w:r>
      <w:r>
        <w:rPr>
          <w:rFonts w:hint="eastAsia"/>
        </w:rPr>
        <w:t>个州制定了配网级的小发电机组并网标准，为小型风电并网扫清了最大阻力。</w:t>
      </w:r>
    </w:p>
    <w:p w:rsidR="00CA619C" w:rsidRDefault="00CA619C" w:rsidP="00CA619C">
      <w:pPr>
        <w:ind w:firstLine="480"/>
        <w:rPr>
          <w:rFonts w:hint="eastAsia"/>
        </w:rPr>
      </w:pPr>
      <w:r>
        <w:rPr>
          <w:rFonts w:hint="eastAsia"/>
        </w:rPr>
        <w:t>我国要加快完善制定机制，建立新兴能源标准体系。首先，标准制定应该有多方面参与，制造商、发电商、电网等。第二，标准起到行业规范作用，缺乏标准的话，就会出现竞争无序，建立一个完善的标准体系不仅能推动产业发展，也是对安全的保障，特别是能源领域不同于普通商品，风能、太阳能的发电上网对整个电网安全都有影响，如果发生事故，带来的危害是系统性的。第三，标准具有牵引力量，能够引导技术创新，反之，如果标准更新太慢则不利于引导技术进步，技术不进步就会被淘汰，因此要对标准进行及时更新。第四，技术标准具有系统性，通过标准，解决系统连带问题，标准统一了，产业就联动了，所以一定要标准先行。新兴能源产业有其自身的产业链，又与其他诸多行业或学科有交叉，在制定标准的时候一定要与其他行业或学科协调。</w:t>
      </w:r>
    </w:p>
    <w:p w:rsidR="00CA619C" w:rsidRDefault="00CA619C" w:rsidP="00CA619C">
      <w:pPr>
        <w:pStyle w:val="Heading3"/>
        <w:numPr>
          <w:ilvl w:val="2"/>
          <w:numId w:val="1"/>
        </w:numPr>
        <w:tabs>
          <w:tab w:val="clear" w:pos="720"/>
        </w:tabs>
        <w:rPr>
          <w:rFonts w:hint="eastAsia"/>
        </w:rPr>
      </w:pPr>
      <w:bookmarkStart w:id="195" w:name="_Toc392853183"/>
      <w:r>
        <w:rPr>
          <w:rFonts w:hint="eastAsia"/>
        </w:rPr>
        <w:t>建立技术信息、资产交流交易的服务平台</w:t>
      </w:r>
      <w:bookmarkEnd w:id="195"/>
    </w:p>
    <w:p w:rsidR="00CA619C" w:rsidRDefault="00CA619C" w:rsidP="00CA619C">
      <w:pPr>
        <w:ind w:firstLine="480"/>
        <w:rPr>
          <w:rFonts w:hint="eastAsia"/>
        </w:rPr>
      </w:pPr>
      <w:r>
        <w:rPr>
          <w:rFonts w:hint="eastAsia"/>
        </w:rPr>
        <w:t>建立技术信息、资产交流交易的服务平台，对于新兴能源产业发展，对于解决共性技术缺失的问题都是非常有益的。我国新兴能源产业在技术并购、阶段性技术转让、以及企业间的整合，都需要建立公共的服务平台。</w:t>
      </w:r>
    </w:p>
    <w:p w:rsidR="00CA619C" w:rsidRDefault="00CA619C" w:rsidP="00CA619C">
      <w:pPr>
        <w:ind w:firstLine="480"/>
        <w:rPr>
          <w:rFonts w:hint="eastAsia"/>
        </w:rPr>
      </w:pPr>
      <w:r>
        <w:rPr>
          <w:rFonts w:hint="eastAsia"/>
        </w:rPr>
        <w:t>首先，技术并购等需要服务平台。能源信息需要快速交流，人才和技术需要快速流动，先进的技术只有在不同的国家及企业间流动才能快速应用起来。如何让先进国家的先进技术快速流入中国？其中一个重要方法就是通过并购的方式来加快对先进国家的先进技术的引进吸收，例如页岩气产业，可以通过收购国外有技术的公司，达到获得国外页岩气先进技术的目的，但这就需要通过公共服务平台来提供信息及数据。</w:t>
      </w:r>
    </w:p>
    <w:p w:rsidR="00CA619C" w:rsidRDefault="00CA619C" w:rsidP="00CA619C">
      <w:pPr>
        <w:ind w:firstLine="480"/>
        <w:rPr>
          <w:rFonts w:hint="eastAsia"/>
        </w:rPr>
      </w:pPr>
      <w:r>
        <w:rPr>
          <w:rFonts w:hint="eastAsia"/>
        </w:rPr>
        <w:t>第二，阶段性技术产品的转让需要公共服务平台提供信息等服务。例如，半成品开发技术的转让，主要是对半成品技术的交易、出售、融资、转让提供信息服务，带有资产性开发的阶段性转让，技术的交易资源的交易，在能源产业化中很重要。例如，页岩气矿权的转让，这在国际上先进国家已经非常成熟。当某一家企业对区块进行勘探没有获得发现之后，就可以转让矿权，引进别的企业进行新的勘探，而在矿权转让的过程中，就需要一个公共服务平台来分享信息。</w:t>
      </w:r>
    </w:p>
    <w:p w:rsidR="00CA619C" w:rsidRDefault="00CA619C" w:rsidP="00CA619C">
      <w:pPr>
        <w:ind w:firstLine="480"/>
        <w:rPr>
          <w:rFonts w:hint="eastAsia"/>
        </w:rPr>
      </w:pPr>
      <w:r>
        <w:rPr>
          <w:rFonts w:hint="eastAsia"/>
        </w:rPr>
        <w:t>第三，能源产业链上企业的整合需要公共服务平台。例如，石油公司（作为业主的开发商）、油服公司（拥有技术服务的主体），以及技术公司（专门从事技术研发的企业），要推动他们之间的的整合与合作，就需要为他们提供一个信息交流的平台。在对信息进行充分交流的基础上，就可选择多种合作模式，这种机制在能源领域显得非常重要。同时，油气产业上、中、下游之间也是不同业务环节或领域之间的交流，也需要平台提供服务。</w:t>
      </w:r>
    </w:p>
    <w:p w:rsidR="00CA619C" w:rsidRDefault="00CA619C" w:rsidP="00CA619C">
      <w:pPr>
        <w:pStyle w:val="Heading3"/>
        <w:numPr>
          <w:ilvl w:val="2"/>
          <w:numId w:val="1"/>
        </w:numPr>
        <w:tabs>
          <w:tab w:val="clear" w:pos="720"/>
        </w:tabs>
        <w:rPr>
          <w:rFonts w:hint="eastAsia"/>
        </w:rPr>
      </w:pPr>
      <w:bookmarkStart w:id="196" w:name="_Toc392853184"/>
      <w:r>
        <w:rPr>
          <w:rFonts w:hint="eastAsia"/>
        </w:rPr>
        <w:t>加大人才培养</w:t>
      </w:r>
      <w:bookmarkEnd w:id="196"/>
    </w:p>
    <w:p w:rsidR="00CA619C" w:rsidRDefault="00CA619C" w:rsidP="00CA619C">
      <w:pPr>
        <w:ind w:firstLine="480"/>
        <w:rPr>
          <w:rFonts w:hint="eastAsia"/>
        </w:rPr>
      </w:pPr>
      <w:r>
        <w:rPr>
          <w:rFonts w:hint="eastAsia"/>
        </w:rPr>
        <w:t>近年来，我国新兴能源产业发展迅速，例如新能源电力行业在产能、装机容量等方面都已居于世界的领先行列，但在我国新能源电力行业快速发展的过程中，人才供给不足的问题也越发显现，从而在很大程度上制约了新能源产业的发展和技术的进步。我国新兴能源产业人才培养已刻不容缓。</w:t>
      </w:r>
    </w:p>
    <w:p w:rsidR="00CA619C" w:rsidRDefault="00CA619C" w:rsidP="00CA619C">
      <w:pPr>
        <w:ind w:firstLine="480"/>
        <w:rPr>
          <w:rFonts w:hint="eastAsia"/>
        </w:rPr>
      </w:pPr>
      <w:r>
        <w:rPr>
          <w:rFonts w:hint="eastAsia"/>
        </w:rPr>
        <w:t>首先，高校对新兴能源人才的培养落后。目前我国开设新能源相关专业的高校很少，培养规模小。以风电为例，截止到</w:t>
      </w:r>
      <w:r>
        <w:rPr>
          <w:rFonts w:hint="eastAsia"/>
        </w:rPr>
        <w:t>2011</w:t>
      </w:r>
      <w:r>
        <w:rPr>
          <w:rFonts w:hint="eastAsia"/>
        </w:rPr>
        <w:t>年底，国内开设风电相关专业的高校不超过</w:t>
      </w:r>
      <w:r>
        <w:rPr>
          <w:rFonts w:hint="eastAsia"/>
        </w:rPr>
        <w:t>10</w:t>
      </w:r>
      <w:r>
        <w:rPr>
          <w:rFonts w:hint="eastAsia"/>
        </w:rPr>
        <w:t>所，每年毕业生不足</w:t>
      </w:r>
      <w:r>
        <w:rPr>
          <w:rFonts w:hint="eastAsia"/>
        </w:rPr>
        <w:t>1000</w:t>
      </w:r>
      <w:r>
        <w:rPr>
          <w:rFonts w:hint="eastAsia"/>
        </w:rPr>
        <w:t>人，远远不能满足年均几万人的人才需求量，生物质及光伏发电，到目前国内还没有一所大学开设生物质发电相关专业，只有一些大型光伏制造基地所在的省市开设了相关的职业技术培训类学校，和华北电力大学等几所高校与企业合作成立了生物质、太阳能相关研究机构，但培养的相关研究生的数量也很少，能对接国际前沿技术的更是寥寥无几。</w:t>
      </w:r>
    </w:p>
    <w:p w:rsidR="00CA619C" w:rsidRDefault="00CA619C" w:rsidP="00CA619C">
      <w:pPr>
        <w:ind w:firstLine="480"/>
        <w:rPr>
          <w:rFonts w:hint="eastAsia"/>
        </w:rPr>
      </w:pPr>
      <w:r>
        <w:rPr>
          <w:rFonts w:hint="eastAsia"/>
        </w:rPr>
        <w:t>其次，我国现有的人才还主要集中在垄断行业中，人才吸附性强，缺乏流动性，导致外界难以找到适合的人才。例如，我国页岩气上游勘探开发市场放开后，新进入市场的华电、</w:t>
      </w:r>
      <w:r>
        <w:rPr>
          <w:rFonts w:hint="eastAsia"/>
        </w:rPr>
        <w:t>IDG</w:t>
      </w:r>
      <w:r>
        <w:rPr>
          <w:rFonts w:hint="eastAsia"/>
        </w:rPr>
        <w:t>等企业都难以找到国内从事油气勘探开发及技术服务的相关人才及队伍，面临困难。</w:t>
      </w:r>
    </w:p>
    <w:p w:rsidR="00CA619C" w:rsidRDefault="00CA619C" w:rsidP="00CA619C">
      <w:pPr>
        <w:ind w:firstLine="480"/>
        <w:rPr>
          <w:rFonts w:hint="eastAsia"/>
        </w:rPr>
      </w:pPr>
      <w:r>
        <w:rPr>
          <w:rFonts w:hint="eastAsia"/>
        </w:rPr>
        <w:t>再次，新兴能源涉及的大多是一些新的学科，目前我们的高教体系里还非常缺乏对这些新学科的教育和研究。例如，目前的高校教育中，建设太阳能、风电、储能等学科极少，基础工作人才和高端技术人才都非常紧缺。即使有，大多数也只是职业技术学院这样的培训类院校。</w:t>
      </w:r>
    </w:p>
    <w:p w:rsidR="00CA619C" w:rsidRDefault="00CA619C" w:rsidP="00CA619C">
      <w:pPr>
        <w:ind w:firstLine="480"/>
        <w:rPr>
          <w:rFonts w:hint="eastAsia"/>
        </w:rPr>
      </w:pPr>
      <w:r>
        <w:rPr>
          <w:rFonts w:hint="eastAsia"/>
        </w:rPr>
        <w:t>新兴能源要实现产业的快速发展和技术的快速进步，人才的供给必须得到保障。</w:t>
      </w:r>
    </w:p>
    <w:p w:rsidR="00CA619C" w:rsidRDefault="00CA619C" w:rsidP="00CA619C">
      <w:pPr>
        <w:ind w:firstLine="480"/>
        <w:rPr>
          <w:rFonts w:hint="eastAsia"/>
        </w:rPr>
      </w:pPr>
      <w:r>
        <w:rPr>
          <w:rFonts w:hint="eastAsia"/>
        </w:rPr>
        <w:t>一方面，高校作为技术人才培养的主力军，应当承担起为新能源发电行业培养高级人才的重任。应加大本土人才培养，加强高校新兴能源相关专业的建设，专门针对新兴能源的发展，开设相应专业，专门讲授新兴能源方面课程。</w:t>
      </w:r>
    </w:p>
    <w:p w:rsidR="00CA619C" w:rsidRDefault="00CA619C" w:rsidP="00CA619C">
      <w:pPr>
        <w:ind w:firstLine="480"/>
        <w:rPr>
          <w:rFonts w:hint="eastAsia"/>
        </w:rPr>
      </w:pPr>
      <w:r>
        <w:rPr>
          <w:rFonts w:hint="eastAsia"/>
        </w:rPr>
        <w:t>另一方面，也是更为重要的一方面，便是要努力引进、吸纳海外人才。新兴能源产业毕竟是从国外发端，我国新兴能源领域在早期的大多数技术也是从国外带回来的，基本是利用海外的人才资源开始发展我国新兴能源产业。例如：中国光伏制造业发展主要是靠海外归国的技术人才，国内第一批获得页岩气技术的也主要是</w:t>
      </w:r>
      <w:r>
        <w:rPr>
          <w:rFonts w:hint="eastAsia"/>
        </w:rPr>
        <w:t>IDG</w:t>
      </w:r>
      <w:r>
        <w:rPr>
          <w:rFonts w:hint="eastAsia"/>
        </w:rPr>
        <w:t>等这些海外留学归国人才，都是海外归国团队。海外技术人才或海外技术团队，加上国内的资本及制造，构成了新兴能源领域创新的主渠道之一。在新兴能源创新和海外回国人员创业，需要将这些人才掌握的技术与国内的资本相结合，这是近几年我国新兴能源领域技术创新最主要的一个渠道之一。这些海外关键人才不仅拥有技术，而且了解技术的前沿发展方向，甚至了解世界整个产业链的布局和发展情况，对产业发展的前景和方向有很强的把握。我国要为引进这些海外关键人才创造条件，并提供更大的支持，包括就业、税收等，以及国家的人才计划，如千人计划、万人计划等，这些政策都应该向这些关键人才倾斜，解决这些海外技术人才归国后的后顾之忧。同时，提供公共平台，为这些海外关键人才归国提供服务和支持。</w:t>
      </w:r>
    </w:p>
    <w:p w:rsidR="00CA619C" w:rsidRDefault="00CA619C" w:rsidP="00CA619C">
      <w:pPr>
        <w:pStyle w:val="Heading3"/>
        <w:numPr>
          <w:ilvl w:val="2"/>
          <w:numId w:val="1"/>
        </w:numPr>
        <w:tabs>
          <w:tab w:val="clear" w:pos="720"/>
        </w:tabs>
        <w:rPr>
          <w:rFonts w:hint="eastAsia"/>
        </w:rPr>
      </w:pPr>
      <w:bookmarkStart w:id="197" w:name="_Toc392853185"/>
      <w:r>
        <w:rPr>
          <w:rFonts w:hint="eastAsia"/>
        </w:rPr>
        <w:t>提供技术与资产并购的服务体系</w:t>
      </w:r>
      <w:bookmarkEnd w:id="197"/>
    </w:p>
    <w:p w:rsidR="00CA619C" w:rsidRDefault="00CA619C" w:rsidP="00CA619C">
      <w:pPr>
        <w:ind w:firstLine="480"/>
        <w:rPr>
          <w:rFonts w:hint="eastAsia"/>
        </w:rPr>
      </w:pPr>
      <w:r>
        <w:rPr>
          <w:rFonts w:hint="eastAsia"/>
        </w:rPr>
        <w:t>企业通过并购，可以扩张经营规模、降低经营成本、实现专业化生产、充分利用生产能力，同时可以提高市场占有份额、提高企业自身的竞争能力，提升企业价值。我国新兴能源通过国内并购，能够较好地整合资源，加快产业发展，通过并购海外资产，可以加快技术的引进。</w:t>
      </w:r>
    </w:p>
    <w:p w:rsidR="00CA619C" w:rsidRDefault="00CA619C" w:rsidP="00CA619C">
      <w:pPr>
        <w:ind w:firstLine="480"/>
        <w:rPr>
          <w:rFonts w:hint="eastAsia"/>
        </w:rPr>
      </w:pPr>
      <w:r>
        <w:rPr>
          <w:rFonts w:hint="eastAsia"/>
        </w:rPr>
        <w:t>新兴能源领域在发展过程中的并购活动非常活跃。例如在美国，由于美国页岩气矿权、公司股权之间可以自由转让，矿权的可流动性使得页岩气的并购市场非常活跃。仅在</w:t>
      </w:r>
      <w:r>
        <w:rPr>
          <w:rFonts w:hint="eastAsia"/>
        </w:rPr>
        <w:t>2011</w:t>
      </w:r>
      <w:r>
        <w:rPr>
          <w:rFonts w:hint="eastAsia"/>
        </w:rPr>
        <w:t>年，美国页岩气领域就一共发生了</w:t>
      </w:r>
      <w:r>
        <w:rPr>
          <w:rFonts w:hint="eastAsia"/>
        </w:rPr>
        <w:t>68</w:t>
      </w:r>
      <w:r>
        <w:rPr>
          <w:rFonts w:hint="eastAsia"/>
        </w:rPr>
        <w:t>起并购，总额高达</w:t>
      </w:r>
      <w:r>
        <w:rPr>
          <w:rFonts w:hint="eastAsia"/>
        </w:rPr>
        <w:t>1070</w:t>
      </w:r>
      <w:r>
        <w:rPr>
          <w:rFonts w:hint="eastAsia"/>
        </w:rPr>
        <w:t>亿美元，比</w:t>
      </w:r>
      <w:r>
        <w:rPr>
          <w:rFonts w:hint="eastAsia"/>
        </w:rPr>
        <w:t>2010</w:t>
      </w:r>
      <w:r>
        <w:rPr>
          <w:rFonts w:hint="eastAsia"/>
        </w:rPr>
        <w:t>年的</w:t>
      </w:r>
      <w:r>
        <w:rPr>
          <w:rFonts w:hint="eastAsia"/>
        </w:rPr>
        <w:t>689</w:t>
      </w:r>
      <w:r>
        <w:rPr>
          <w:rFonts w:hint="eastAsia"/>
        </w:rPr>
        <w:t>亿美元增加了</w:t>
      </w:r>
      <w:r>
        <w:rPr>
          <w:rFonts w:hint="eastAsia"/>
        </w:rPr>
        <w:t>55%</w:t>
      </w:r>
      <w:r>
        <w:rPr>
          <w:rFonts w:hint="eastAsia"/>
        </w:rPr>
        <w:t>。其中外国资本在美国页岩气领域并购多达</w:t>
      </w:r>
      <w:r>
        <w:rPr>
          <w:rFonts w:hint="eastAsia"/>
        </w:rPr>
        <w:t>40</w:t>
      </w:r>
      <w:r>
        <w:rPr>
          <w:rFonts w:hint="eastAsia"/>
        </w:rPr>
        <w:t>起，总投资</w:t>
      </w:r>
      <w:r>
        <w:rPr>
          <w:rFonts w:hint="eastAsia"/>
        </w:rPr>
        <w:t>564</w:t>
      </w:r>
      <w:r>
        <w:rPr>
          <w:rFonts w:hint="eastAsia"/>
        </w:rPr>
        <w:t>亿美元。</w:t>
      </w:r>
      <w:r>
        <w:rPr>
          <w:rStyle w:val="FootnoteReference"/>
          <w:rFonts w:hint="eastAsia"/>
        </w:rPr>
        <w:footnoteReference w:id="27"/>
      </w:r>
    </w:p>
    <w:p w:rsidR="00CA619C" w:rsidRDefault="00CA619C" w:rsidP="00CA619C">
      <w:pPr>
        <w:ind w:firstLine="480"/>
        <w:rPr>
          <w:rFonts w:hint="eastAsia"/>
        </w:rPr>
      </w:pPr>
      <w:r>
        <w:rPr>
          <w:rFonts w:hint="eastAsia"/>
        </w:rPr>
        <w:t>并购表现形式也非常多样化，可以表现为：同类企业相互之间的“大吃小”；产业链不同环节上的上游、中游和下游之间的并购；以及国内企业和国外企业之间的并购活动。例如，全球从事全钒液流电池研发制造的代表性公司北京普能公司，自</w:t>
      </w:r>
      <w:r>
        <w:rPr>
          <w:rFonts w:hint="eastAsia"/>
        </w:rPr>
        <w:t>2009</w:t>
      </w:r>
      <w:r>
        <w:rPr>
          <w:rFonts w:hint="eastAsia"/>
        </w:rPr>
        <w:t>年成功收购世界著名钒电池企业加拿大</w:t>
      </w:r>
      <w:r>
        <w:rPr>
          <w:rFonts w:hint="eastAsia"/>
        </w:rPr>
        <w:t>VRB Powe Systems</w:t>
      </w:r>
      <w:r>
        <w:rPr>
          <w:rFonts w:hint="eastAsia"/>
        </w:rPr>
        <w:t>公司后，迅速集成具备了全球顶尖的研发团队、技术成果和工程经验，跻身世界化学储能界的明星阵容。中国的三大油气公司也都有对国外页岩气技术服务公司或开发商进行收购，以获得现成技术，例如前面提到的中国石化集团所属全资子公司国际石油勘探开发有限公司收购美国戴文（</w:t>
      </w:r>
      <w:r>
        <w:rPr>
          <w:rFonts w:hint="eastAsia"/>
        </w:rPr>
        <w:t>Devon</w:t>
      </w:r>
      <w:r>
        <w:rPr>
          <w:rFonts w:hint="eastAsia"/>
        </w:rPr>
        <w:t>）能源公司</w:t>
      </w:r>
      <w:r>
        <w:rPr>
          <w:rFonts w:hint="eastAsia"/>
        </w:rPr>
        <w:t>5</w:t>
      </w:r>
      <w:r>
        <w:rPr>
          <w:rFonts w:hint="eastAsia"/>
        </w:rPr>
        <w:t>个页岩油气资产权益的</w:t>
      </w:r>
      <w:r>
        <w:rPr>
          <w:rFonts w:hint="eastAsia"/>
        </w:rPr>
        <w:t>1/3</w:t>
      </w:r>
      <w:r>
        <w:rPr>
          <w:rFonts w:hint="eastAsia"/>
        </w:rPr>
        <w:t>，以及中国石油集团完成的对壳牌加拿大一个页岩气项目中</w:t>
      </w:r>
      <w:r>
        <w:rPr>
          <w:rFonts w:hint="eastAsia"/>
        </w:rPr>
        <w:t>20%</w:t>
      </w:r>
      <w:r>
        <w:rPr>
          <w:rFonts w:hint="eastAsia"/>
        </w:rPr>
        <w:t>权益的收购，都使其在页岩气技术以及相关的开发、生产和管理累积了更多经验。</w:t>
      </w:r>
    </w:p>
    <w:p w:rsidR="00CA619C" w:rsidRDefault="00CA619C" w:rsidP="00CA619C">
      <w:pPr>
        <w:ind w:firstLine="480"/>
        <w:rPr>
          <w:rFonts w:hint="eastAsia"/>
        </w:rPr>
      </w:pPr>
      <w:r>
        <w:rPr>
          <w:rFonts w:hint="eastAsia"/>
        </w:rPr>
        <w:t>从此可以看出，我国新兴能源产业对提供技术和资产并购的服务体系有非常大的需求。但由于并购活动一般对法律、税收、人才等信息的要求都比较高。所以，我国要大力发展新兴能源产业，就必须把支持并购的一些相关法律、税收、人才、融资、评估、公司等服务体系等基础条件建立起来。</w:t>
      </w:r>
    </w:p>
    <w:p w:rsidR="00CA619C" w:rsidRDefault="00CA619C" w:rsidP="00CA619C">
      <w:pPr>
        <w:pStyle w:val="Heading2"/>
        <w:tabs>
          <w:tab w:val="clear" w:pos="575"/>
        </w:tabs>
        <w:rPr>
          <w:rFonts w:hint="eastAsia"/>
        </w:rPr>
      </w:pPr>
      <w:bookmarkStart w:id="198" w:name="_Toc392853186"/>
      <w:r>
        <w:rPr>
          <w:rFonts w:hint="eastAsia"/>
        </w:rPr>
        <w:t>完善政策支持体系</w:t>
      </w:r>
      <w:bookmarkEnd w:id="198"/>
    </w:p>
    <w:p w:rsidR="00CA619C" w:rsidRDefault="00CA619C" w:rsidP="00CA619C">
      <w:pPr>
        <w:ind w:firstLine="480"/>
        <w:rPr>
          <w:rFonts w:hint="eastAsia"/>
        </w:rPr>
      </w:pPr>
      <w:r>
        <w:rPr>
          <w:rFonts w:hint="eastAsia"/>
        </w:rPr>
        <w:t>在新兴能源技术方面，没有哪个具有技术导向性的创新型的行业是在低成本竞争的环境中成长起来的，这在新兴能源产业也是一样的。因此，在新兴能源技术及产业发展的初步阶段，给予一定的政策倾斜以确保处于竞争劣势的新兴产业具有一定的生存发展空间，以及逐步为其建立一个良好的政策环境与社会氛围都应该是国家层面的战略性的考虑。尤其是在目前我国电力及油气行业仍然是高度垄断的条件下，这种以创新为导向的新兴能源产业发展趋势更是面临着全方位的挑战。如何以战略的政策设计逐步引导建立相对商业化的市场体系是储能乃至整个能源行业需要急迫解决的问题。</w:t>
      </w:r>
    </w:p>
    <w:p w:rsidR="00CA619C" w:rsidRDefault="00CA619C" w:rsidP="00CA619C">
      <w:pPr>
        <w:ind w:firstLine="480"/>
        <w:rPr>
          <w:rFonts w:hint="eastAsia"/>
        </w:rPr>
      </w:pPr>
      <w:r>
        <w:rPr>
          <w:rFonts w:hint="eastAsia"/>
        </w:rPr>
        <w:t>目前，我国在实施激励性政策时的政策难点在于，实施对象应为供给方还是需求方？实施环节应在研发环节还是产业环节？目前，我国以各种方式对新能源发电进行了大量隐性补贴，而电网企业不享受新能源发电企业所享有的税收政策优惠，国家对电网公司的补贴标准也显著偏低，这就造成电网企业积极性不高。另一方面，我国对基础研究投入不足，技术瓶颈日益突出，受制于人的窘境在新能源产业再次上演。由于我们对基础研发投入欠账太多，当我们形成大规模产业化之后，发现技术及装备的制约越来越突出。</w:t>
      </w:r>
    </w:p>
    <w:p w:rsidR="00CA619C" w:rsidRDefault="00CA619C" w:rsidP="00CA619C">
      <w:pPr>
        <w:pStyle w:val="Heading3"/>
        <w:numPr>
          <w:ilvl w:val="2"/>
          <w:numId w:val="1"/>
        </w:numPr>
        <w:tabs>
          <w:tab w:val="clear" w:pos="720"/>
        </w:tabs>
        <w:rPr>
          <w:rFonts w:hint="eastAsia"/>
        </w:rPr>
      </w:pPr>
      <w:bookmarkStart w:id="199" w:name="_Toc392853187"/>
      <w:r>
        <w:rPr>
          <w:rFonts w:hint="eastAsia"/>
        </w:rPr>
        <w:t>制定权威可预期的规划方案</w:t>
      </w:r>
      <w:bookmarkEnd w:id="199"/>
    </w:p>
    <w:p w:rsidR="00CA619C" w:rsidRDefault="00CA619C" w:rsidP="00CA619C">
      <w:pPr>
        <w:ind w:firstLine="480"/>
        <w:rPr>
          <w:rFonts w:hint="eastAsia"/>
        </w:rPr>
      </w:pPr>
      <w:r>
        <w:rPr>
          <w:rFonts w:hint="eastAsia"/>
        </w:rPr>
        <w:t>新能源创新的进程，取决于规划的设计，因此必须要有规划。并且规划也要有权威性和可预期性，这样相关研究机构才能根据国家的规划作出合理安排科技研发的路线图。</w:t>
      </w:r>
    </w:p>
    <w:p w:rsidR="00CA619C" w:rsidRDefault="00CA619C" w:rsidP="00CA619C">
      <w:pPr>
        <w:ind w:firstLine="480"/>
        <w:rPr>
          <w:rFonts w:hint="eastAsia"/>
        </w:rPr>
      </w:pPr>
      <w:r>
        <w:rPr>
          <w:rFonts w:hint="eastAsia"/>
        </w:rPr>
        <w:t>首先，规划是属于产业发展的顶层设计政策。新兴能源产业是一个政府管制性较强的行业，新兴能源产业的发展与国家整体能源规划和能源政策紧密相关。新兴能源产业发展和技术创新的进程取决于新兴能源产业发展规划的设计，包括规划的规模大小、时间安排，以及其他一些政府考虑安排，例如政府对能源产业的定位是要快速发展，还是缓慢起步等等。</w:t>
      </w:r>
    </w:p>
    <w:p w:rsidR="00CA619C" w:rsidRDefault="00CA619C" w:rsidP="00CA619C">
      <w:pPr>
        <w:ind w:firstLine="480"/>
        <w:rPr>
          <w:rFonts w:hint="eastAsia"/>
        </w:rPr>
      </w:pPr>
      <w:r>
        <w:rPr>
          <w:rFonts w:hint="eastAsia"/>
        </w:rPr>
        <w:t>其次，产业规划应具有权威性和可预期性。新兴能源产业发展规划是对产业发展比较全面长远的发展计划，是对未来整体性、长期性、基本性问题的思考和考量，是设计未来整套行动的方案。因此，其必须应具有权威性和可预期性。新兴能源产业的规划要给产业发展一个明确的目标或预期，让业界对产业的发展前景有一个预判，这样才能形成产业发展的路线图，才能引导这个产业朝着这个方向去发展。</w:t>
      </w:r>
    </w:p>
    <w:p w:rsidR="00CA619C" w:rsidRDefault="00CA619C" w:rsidP="00CA619C">
      <w:pPr>
        <w:ind w:firstLine="480"/>
        <w:rPr>
          <w:rFonts w:hint="eastAsia"/>
        </w:rPr>
      </w:pPr>
      <w:r>
        <w:rPr>
          <w:rFonts w:hint="eastAsia"/>
        </w:rPr>
        <w:t>最后，新兴能源单个领域的发展规划也要制定。例如，光伏、风电、页岩气等具体产业的发展规划，包括要解决什么样的重大问题，要明确的技术重点，产业发展目标，要发展的一些重点项目等问题。</w:t>
      </w:r>
    </w:p>
    <w:p w:rsidR="00CA619C" w:rsidRDefault="00CA619C" w:rsidP="00CA619C">
      <w:pPr>
        <w:pStyle w:val="Heading3"/>
        <w:numPr>
          <w:ilvl w:val="2"/>
          <w:numId w:val="1"/>
        </w:numPr>
        <w:tabs>
          <w:tab w:val="clear" w:pos="720"/>
        </w:tabs>
        <w:rPr>
          <w:rFonts w:hint="eastAsia"/>
        </w:rPr>
      </w:pPr>
      <w:bookmarkStart w:id="200" w:name="_Toc392853188"/>
      <w:r>
        <w:rPr>
          <w:rFonts w:hint="eastAsia"/>
        </w:rPr>
        <w:t>完善财政支持政策</w:t>
      </w:r>
      <w:bookmarkEnd w:id="200"/>
    </w:p>
    <w:p w:rsidR="00CA619C" w:rsidRDefault="00CA619C" w:rsidP="00CA619C">
      <w:pPr>
        <w:ind w:firstLine="480"/>
        <w:rPr>
          <w:rFonts w:hint="eastAsia"/>
        </w:rPr>
      </w:pPr>
      <w:r>
        <w:rPr>
          <w:rFonts w:hint="eastAsia"/>
        </w:rPr>
        <w:t>完善财政支持政策，需要注意几点：</w:t>
      </w:r>
    </w:p>
    <w:p w:rsidR="00CA619C" w:rsidRDefault="00CA619C" w:rsidP="00CA619C">
      <w:pPr>
        <w:ind w:firstLine="480"/>
        <w:rPr>
          <w:rFonts w:hint="eastAsia"/>
          <w:shd w:val="pct10" w:color="auto" w:fill="FFFFFF"/>
        </w:rPr>
      </w:pPr>
      <w:r>
        <w:rPr>
          <w:rFonts w:hint="eastAsia"/>
        </w:rPr>
        <w:t>首先，财政支持要体现阶段性。在新兴能源产业产业技术发展的不同阶段应给予不一样的财政支持。例如：在早期技术研发阶段，应对新产品的源头技术开发、可行性研究、商业规划和市场研究以及试生产和试销售。由于需要购买研究生产设备、进行产品开发研究和建立销售渠道，企业需要大量资金，但由于企业规模小，产品技术又不稳定，这一阶段的投资风险是最高的，同时又较难获得规范的银行贷款。在美国，财政在这一阶段的主要政策是专项投资、对知识产权成果的形成给予补贴以及支持创办孵化器等。在技术示范阶段，财政政策则应该更多地支持示范项目建设；到了技术应用阶段，则是别的支持方式。总之，应尽可能地明确时间节点，清晰划分技术不同发展阶段的财政政策。</w:t>
      </w:r>
    </w:p>
    <w:p w:rsidR="00CA619C" w:rsidRDefault="00CA619C" w:rsidP="00CA619C">
      <w:pPr>
        <w:ind w:firstLine="480"/>
        <w:rPr>
          <w:rFonts w:hint="eastAsia"/>
        </w:rPr>
      </w:pPr>
      <w:r>
        <w:rPr>
          <w:rFonts w:hint="eastAsia"/>
        </w:rPr>
        <w:t>第二是要体现可预期性。例如补贴，要可预期。今年补多少？明年补多少？什么时间停？都要尽量清楚。要有时间表，及时公布，可以修订，并且还要有一定的确定性或权威性。规划要具备权威性和可预期性，就要设立具体而科学的发展目标，或者能够起预期参考作用的目标。例如对光伏发电上网的补贴。确定补贴多少？补到什么时候？或者补贴的多少和方式如何根据产业发展程度或随着时间的推移进行调整？这些细节，能够公布的应尽早公布，要有时间表，要有一定的确定性，使业界有预期。</w:t>
      </w:r>
    </w:p>
    <w:p w:rsidR="00CA619C" w:rsidRDefault="00CA619C" w:rsidP="00CA619C">
      <w:pPr>
        <w:ind w:firstLine="480"/>
        <w:rPr>
          <w:rFonts w:hint="eastAsia"/>
        </w:rPr>
      </w:pPr>
      <w:r>
        <w:rPr>
          <w:rFonts w:hint="eastAsia"/>
        </w:rPr>
        <w:t>目前我国对新兴能源的补贴存在很大问题。根据《可再生能源发展基金征收使用管理暂行办法》，可再生能源发展基金由国家财政公共预算安排的专项资金</w:t>
      </w:r>
      <w:r>
        <w:rPr>
          <w:rFonts w:hint="eastAsia"/>
        </w:rPr>
        <w:t>(</w:t>
      </w:r>
      <w:r>
        <w:rPr>
          <w:rFonts w:hint="eastAsia"/>
        </w:rPr>
        <w:t>以下简称可再生能源发展专项资金</w:t>
      </w:r>
      <w:r>
        <w:rPr>
          <w:rFonts w:hint="eastAsia"/>
        </w:rPr>
        <w:t>)</w:t>
      </w:r>
      <w:r>
        <w:rPr>
          <w:rFonts w:hint="eastAsia"/>
        </w:rPr>
        <w:t>和依法向电力用户征收的可再生能源电价附加收入两部分组成，由于可再生能源附加和财政专项资金来源不同，征收、拨付和监管分属不同政府机构，因此在可再生能源附加征收不能满足补贴资金需求的情况下，出现了主管机关相互推诿，附加征收水平不能得到及时调整，资金缺口迟迟无法弥补的情况。以</w:t>
      </w:r>
      <w:r>
        <w:rPr>
          <w:rFonts w:hint="eastAsia"/>
        </w:rPr>
        <w:t>2012</w:t>
      </w:r>
      <w:r>
        <w:rPr>
          <w:rFonts w:hint="eastAsia"/>
        </w:rPr>
        <w:t>年为例。根据《</w:t>
      </w:r>
      <w:r>
        <w:rPr>
          <w:rFonts w:hint="eastAsia"/>
        </w:rPr>
        <w:t>2013</w:t>
      </w:r>
      <w:r>
        <w:rPr>
          <w:rFonts w:hint="eastAsia"/>
        </w:rPr>
        <w:t>中国风电发展报告》，</w:t>
      </w:r>
      <w:r>
        <w:rPr>
          <w:rFonts w:hint="eastAsia"/>
        </w:rPr>
        <w:t>2012</w:t>
      </w:r>
      <w:r>
        <w:rPr>
          <w:rFonts w:hint="eastAsia"/>
        </w:rPr>
        <w:t>年我国全社会用电量为</w:t>
      </w:r>
      <w:r>
        <w:rPr>
          <w:rFonts w:hint="eastAsia"/>
        </w:rPr>
        <w:t>46</w:t>
      </w:r>
      <w:r>
        <w:rPr>
          <w:rFonts w:hint="eastAsia"/>
        </w:rPr>
        <w:t>亿千瓦时，按每千瓦时</w:t>
      </w:r>
      <w:r>
        <w:rPr>
          <w:rFonts w:hint="eastAsia"/>
        </w:rPr>
        <w:t>8</w:t>
      </w:r>
      <w:r>
        <w:rPr>
          <w:rFonts w:hint="eastAsia"/>
        </w:rPr>
        <w:t>厘计算，应收可再生能源电价附加总额为</w:t>
      </w:r>
      <w:r>
        <w:rPr>
          <w:rFonts w:hint="eastAsia"/>
        </w:rPr>
        <w:t>370</w:t>
      </w:r>
      <w:r>
        <w:rPr>
          <w:rFonts w:hint="eastAsia"/>
        </w:rPr>
        <w:t>多亿元，但实际征收</w:t>
      </w:r>
      <w:r>
        <w:rPr>
          <w:rFonts w:hint="eastAsia"/>
        </w:rPr>
        <w:t>250</w:t>
      </w:r>
      <w:r>
        <w:rPr>
          <w:rFonts w:hint="eastAsia"/>
        </w:rPr>
        <w:t>多亿元资金缺口达</w:t>
      </w:r>
      <w:r>
        <w:rPr>
          <w:rFonts w:hint="eastAsia"/>
        </w:rPr>
        <w:t>120</w:t>
      </w:r>
      <w:r>
        <w:rPr>
          <w:rFonts w:hint="eastAsia"/>
        </w:rPr>
        <w:t>亿元。由于逐年累计，拖欠发电企业的可再生能源附加补贴总额已逾</w:t>
      </w:r>
      <w:r>
        <w:rPr>
          <w:rFonts w:hint="eastAsia"/>
        </w:rPr>
        <w:t>200</w:t>
      </w:r>
      <w:r>
        <w:rPr>
          <w:rFonts w:hint="eastAsia"/>
        </w:rPr>
        <w:t>亿元。同时，现行可再生能源补贴拨付程序过于繁琐，补贴资金的申报、审核、拨付由财政部会同国家发改委、国家能源局三家审批，再由中央财政拨付至地方财政，继而或直接发放至发电企业或由电网企业代付，导致资金调配周期过长，补贴不能及时到位，到</w:t>
      </w:r>
      <w:r>
        <w:rPr>
          <w:rFonts w:hint="eastAsia"/>
        </w:rPr>
        <w:t>2014</w:t>
      </w:r>
      <w:r>
        <w:rPr>
          <w:rFonts w:hint="eastAsia"/>
        </w:rPr>
        <w:t>年初补贴拖欠周期长达</w:t>
      </w:r>
      <w:r>
        <w:rPr>
          <w:rFonts w:hint="eastAsia"/>
        </w:rPr>
        <w:t>18</w:t>
      </w:r>
      <w:r>
        <w:rPr>
          <w:rFonts w:hint="eastAsia"/>
        </w:rPr>
        <w:t>—</w:t>
      </w:r>
      <w:r>
        <w:rPr>
          <w:rFonts w:hint="eastAsia"/>
        </w:rPr>
        <w:t>36</w:t>
      </w:r>
      <w:r>
        <w:rPr>
          <w:rFonts w:hint="eastAsia"/>
        </w:rPr>
        <w:t>个月。政府长期拖欠发电企业补贴，不仅严重影响了政府信用导致发电企业资金流转不畅、财务成本增加，产业链出现发电企业、设备企业、零部件企业间的三角债现象，也严重影响了企业的正常经营和经济效益。</w:t>
      </w:r>
    </w:p>
    <w:p w:rsidR="00CA619C" w:rsidRDefault="00CA619C" w:rsidP="00CA619C">
      <w:pPr>
        <w:pStyle w:val="Heading3"/>
        <w:numPr>
          <w:ilvl w:val="2"/>
          <w:numId w:val="1"/>
        </w:numPr>
        <w:tabs>
          <w:tab w:val="clear" w:pos="720"/>
        </w:tabs>
        <w:rPr>
          <w:rFonts w:hint="eastAsia"/>
        </w:rPr>
      </w:pPr>
      <w:bookmarkStart w:id="201" w:name="_Toc392853189"/>
      <w:r>
        <w:rPr>
          <w:rFonts w:hint="eastAsia"/>
        </w:rPr>
        <w:t>提供税收支持</w:t>
      </w:r>
      <w:bookmarkEnd w:id="201"/>
    </w:p>
    <w:p w:rsidR="00CA619C" w:rsidRDefault="00CA619C" w:rsidP="00CA619C">
      <w:pPr>
        <w:ind w:firstLine="480"/>
        <w:rPr>
          <w:rFonts w:hint="eastAsia"/>
        </w:rPr>
      </w:pPr>
      <w:r>
        <w:rPr>
          <w:rFonts w:hint="eastAsia"/>
        </w:rPr>
        <w:t>利用税收政策鼓励创新是美国鼓励创新的重要手段，例如通用的企业研发费用的抵扣或减免的优惠和研发费用向后结转或追溯抵扣。企业研发费用的抵扣或减免的优惠规定，当年发生的研发费用超过规定标准的部分，其</w:t>
      </w:r>
      <w:r>
        <w:rPr>
          <w:rFonts w:hint="eastAsia"/>
        </w:rPr>
        <w:t>20%</w:t>
      </w:r>
      <w:r>
        <w:rPr>
          <w:rFonts w:hint="eastAsia"/>
        </w:rPr>
        <w:t>可直接从应纳税额中抵免。而研发费用向后结转或追溯抵扣规定，美国企业当年发生亏损或没有上缴所得税，计算确定的减免税款和研发费用扣除额</w:t>
      </w:r>
      <w:r>
        <w:rPr>
          <w:rFonts w:hint="eastAsia"/>
        </w:rPr>
        <w:t>,</w:t>
      </w:r>
      <w:r>
        <w:rPr>
          <w:rFonts w:hint="eastAsia"/>
        </w:rPr>
        <w:t>可以往前追溯</w:t>
      </w:r>
      <w:r>
        <w:rPr>
          <w:rFonts w:hint="eastAsia"/>
        </w:rPr>
        <w:t>3</w:t>
      </w:r>
      <w:r>
        <w:rPr>
          <w:rFonts w:hint="eastAsia"/>
        </w:rPr>
        <w:t>年，往后顺延</w:t>
      </w:r>
      <w:r>
        <w:rPr>
          <w:rFonts w:hint="eastAsia"/>
        </w:rPr>
        <w:t>(</w:t>
      </w:r>
      <w:r>
        <w:rPr>
          <w:rFonts w:hint="eastAsia"/>
        </w:rPr>
        <w:t>结转</w:t>
      </w:r>
      <w:r>
        <w:rPr>
          <w:rFonts w:hint="eastAsia"/>
        </w:rPr>
        <w:t>)7</w:t>
      </w:r>
      <w:r>
        <w:rPr>
          <w:rFonts w:hint="eastAsia"/>
        </w:rPr>
        <w:t>年</w:t>
      </w:r>
      <w:r>
        <w:rPr>
          <w:rFonts w:hint="eastAsia"/>
        </w:rPr>
        <w:t>,</w:t>
      </w:r>
      <w:r>
        <w:rPr>
          <w:rFonts w:hint="eastAsia"/>
        </w:rPr>
        <w:t>最长可以顺延</w:t>
      </w:r>
      <w:r>
        <w:rPr>
          <w:rFonts w:hint="eastAsia"/>
        </w:rPr>
        <w:t>15</w:t>
      </w:r>
      <w:r>
        <w:rPr>
          <w:rFonts w:hint="eastAsia"/>
        </w:rPr>
        <w:t>年。</w:t>
      </w:r>
    </w:p>
    <w:p w:rsidR="00CA619C" w:rsidRDefault="00CA619C" w:rsidP="00CA619C">
      <w:pPr>
        <w:ind w:firstLine="480"/>
        <w:rPr>
          <w:rFonts w:hint="eastAsia"/>
        </w:rPr>
      </w:pPr>
      <w:r>
        <w:rPr>
          <w:rFonts w:hint="eastAsia"/>
        </w:rPr>
        <w:t>税收抵免更是美国联邦政府促进新兴能源产业发展的最主要的经济措施。例如可再生能源，美国采取了投资税抵免、生产税和生产所得税抵免、消费税抵免等多种税收优惠措施，鼓励新能源可再生能源发展。拿投资税抵免（</w:t>
      </w:r>
      <w:r>
        <w:rPr>
          <w:rFonts w:hint="eastAsia"/>
        </w:rPr>
        <w:t>ITC</w:t>
      </w:r>
      <w:r>
        <w:rPr>
          <w:rFonts w:hint="eastAsia"/>
        </w:rPr>
        <w:t>）来说，美国鼓励可再生能源计划的发展，对于符合规格的太阳能，燃料电池和小型风能项目予以</w:t>
      </w:r>
      <w:r>
        <w:rPr>
          <w:rFonts w:hint="eastAsia"/>
        </w:rPr>
        <w:t>30%</w:t>
      </w:r>
      <w:r>
        <w:rPr>
          <w:rFonts w:hint="eastAsia"/>
        </w:rPr>
        <w:t>的税收减免，地热能、微型燃气轮机和热电联项目抵减</w:t>
      </w:r>
      <w:r>
        <w:rPr>
          <w:rFonts w:hint="eastAsia"/>
        </w:rPr>
        <w:t>10%</w:t>
      </w:r>
      <w:r>
        <w:rPr>
          <w:rFonts w:hint="eastAsia"/>
        </w:rPr>
        <w:t>。当然，美国联邦政府会根据产业发展的实际情况，对税收抵免的覆盖范围、抵免额度不断予以调整。再如，为鼓励页岩气开采，</w:t>
      </w:r>
      <w:r>
        <w:rPr>
          <w:rFonts w:hint="eastAsia"/>
        </w:rPr>
        <w:t>1980</w:t>
      </w:r>
      <w:r>
        <w:rPr>
          <w:rFonts w:hint="eastAsia"/>
        </w:rPr>
        <w:t>年美国国会通过《原油意外获利法案》，其中第</w:t>
      </w:r>
      <w:r>
        <w:rPr>
          <w:rFonts w:hint="eastAsia"/>
        </w:rPr>
        <w:t>29</w:t>
      </w:r>
      <w:r>
        <w:rPr>
          <w:rFonts w:hint="eastAsia"/>
        </w:rPr>
        <w:t>条税收补贴条例对</w:t>
      </w:r>
      <w:r>
        <w:rPr>
          <w:rFonts w:hint="eastAsia"/>
        </w:rPr>
        <w:t>1979</w:t>
      </w:r>
      <w:r>
        <w:rPr>
          <w:rFonts w:hint="eastAsia"/>
        </w:rPr>
        <w:t>年到</w:t>
      </w:r>
      <w:r>
        <w:rPr>
          <w:rFonts w:hint="eastAsia"/>
        </w:rPr>
        <w:t>1993</w:t>
      </w:r>
      <w:r>
        <w:rPr>
          <w:rFonts w:hint="eastAsia"/>
        </w:rPr>
        <w:t>年期间钻探与</w:t>
      </w:r>
      <w:r>
        <w:rPr>
          <w:rFonts w:hint="eastAsia"/>
        </w:rPr>
        <w:t>2003</w:t>
      </w:r>
      <w:r>
        <w:rPr>
          <w:rFonts w:hint="eastAsia"/>
        </w:rPr>
        <w:t>年之前生产和销售的页岩气均实施税收减免，减免幅度为</w:t>
      </w:r>
      <w:r>
        <w:rPr>
          <w:rFonts w:hint="eastAsia"/>
        </w:rPr>
        <w:t>0.5</w:t>
      </w:r>
      <w:r>
        <w:rPr>
          <w:rFonts w:hint="eastAsia"/>
        </w:rPr>
        <w:t>美元</w:t>
      </w:r>
      <w:r>
        <w:rPr>
          <w:rFonts w:hint="eastAsia"/>
        </w:rPr>
        <w:t>/mmbtu</w:t>
      </w:r>
      <w:r>
        <w:rPr>
          <w:rFonts w:hint="eastAsia"/>
        </w:rPr>
        <w:t>（</w:t>
      </w:r>
      <w:r>
        <w:rPr>
          <w:rFonts w:hint="eastAsia"/>
        </w:rPr>
        <w:t>mmbtu</w:t>
      </w:r>
      <w:r>
        <w:rPr>
          <w:rFonts w:hint="eastAsia"/>
        </w:rPr>
        <w:t>：百万英热单位），而在</w:t>
      </w:r>
      <w:r>
        <w:rPr>
          <w:rFonts w:hint="eastAsia"/>
        </w:rPr>
        <w:t>1989</w:t>
      </w:r>
      <w:r>
        <w:rPr>
          <w:rFonts w:hint="eastAsia"/>
        </w:rPr>
        <w:t>年美国天然气定价基准亨利枢纽（</w:t>
      </w:r>
      <w:r>
        <w:rPr>
          <w:rFonts w:hint="eastAsia"/>
        </w:rPr>
        <w:t>Henry Hub</w:t>
      </w:r>
      <w:r>
        <w:rPr>
          <w:rFonts w:hint="eastAsia"/>
        </w:rPr>
        <w:t>）价格仅为</w:t>
      </w:r>
      <w:r>
        <w:rPr>
          <w:rFonts w:hint="eastAsia"/>
        </w:rPr>
        <w:t>1.75</w:t>
      </w:r>
      <w:r>
        <w:rPr>
          <w:rFonts w:hint="eastAsia"/>
        </w:rPr>
        <w:t>美元</w:t>
      </w:r>
      <w:r>
        <w:rPr>
          <w:rFonts w:hint="eastAsia"/>
        </w:rPr>
        <w:t>/mmbtu</w:t>
      </w:r>
      <w:r>
        <w:rPr>
          <w:rFonts w:hint="eastAsia"/>
        </w:rPr>
        <w:t>。补贴的存在使得开发者长期保持了对页岩气开发的动力。</w:t>
      </w:r>
    </w:p>
    <w:p w:rsidR="00CA619C" w:rsidRDefault="00CA619C" w:rsidP="00CA619C">
      <w:pPr>
        <w:pStyle w:val="Heading3"/>
        <w:numPr>
          <w:ilvl w:val="2"/>
          <w:numId w:val="1"/>
        </w:numPr>
        <w:tabs>
          <w:tab w:val="clear" w:pos="720"/>
        </w:tabs>
        <w:rPr>
          <w:rFonts w:hint="eastAsia"/>
        </w:rPr>
      </w:pPr>
      <w:bookmarkStart w:id="202" w:name="_Toc392853190"/>
      <w:r>
        <w:rPr>
          <w:rFonts w:hint="eastAsia"/>
        </w:rPr>
        <w:t>提供示范项目支持</w:t>
      </w:r>
      <w:bookmarkEnd w:id="202"/>
    </w:p>
    <w:p w:rsidR="00CA619C" w:rsidRDefault="00CA619C" w:rsidP="00CA619C">
      <w:pPr>
        <w:ind w:firstLine="480"/>
      </w:pPr>
      <w:r>
        <w:rPr>
          <w:rFonts w:hint="eastAsia"/>
        </w:rPr>
        <w:t>美国对研发和示范的支持是新兴能源技术产业化当中非常关键的一点。美国用于研发和示范的投资额自</w:t>
      </w:r>
      <w:r>
        <w:rPr>
          <w:rFonts w:hint="eastAsia"/>
        </w:rPr>
        <w:t>2004</w:t>
      </w:r>
      <w:r>
        <w:rPr>
          <w:rFonts w:hint="eastAsia"/>
        </w:rPr>
        <w:t>年起始终是增加的，清洁能源研发示范的支出由</w:t>
      </w:r>
      <w:r>
        <w:rPr>
          <w:rFonts w:hint="eastAsia"/>
        </w:rPr>
        <w:t>2004</w:t>
      </w:r>
      <w:r>
        <w:rPr>
          <w:rFonts w:hint="eastAsia"/>
        </w:rPr>
        <w:t>年的</w:t>
      </w:r>
      <w:r>
        <w:rPr>
          <w:rFonts w:hint="eastAsia"/>
        </w:rPr>
        <w:t>15</w:t>
      </w:r>
      <w:r>
        <w:rPr>
          <w:rFonts w:hint="eastAsia"/>
        </w:rPr>
        <w:t>亿美元增加到</w:t>
      </w:r>
      <w:r>
        <w:rPr>
          <w:rFonts w:hint="eastAsia"/>
        </w:rPr>
        <w:t>2009</w:t>
      </w:r>
      <w:r>
        <w:rPr>
          <w:rFonts w:hint="eastAsia"/>
        </w:rPr>
        <w:t>年的</w:t>
      </w:r>
      <w:r>
        <w:rPr>
          <w:rFonts w:hint="eastAsia"/>
        </w:rPr>
        <w:t>70</w:t>
      </w:r>
      <w:r>
        <w:rPr>
          <w:rFonts w:hint="eastAsia"/>
        </w:rPr>
        <w:t>亿美元，并于</w:t>
      </w:r>
      <w:r>
        <w:rPr>
          <w:rFonts w:hint="eastAsia"/>
        </w:rPr>
        <w:t>2009</w:t>
      </w:r>
      <w:r>
        <w:rPr>
          <w:rFonts w:hint="eastAsia"/>
        </w:rPr>
        <w:t>年因《</w:t>
      </w:r>
      <w:r>
        <w:rPr>
          <w:rFonts w:hint="eastAsia"/>
        </w:rPr>
        <w:t>2009</w:t>
      </w:r>
      <w:r>
        <w:rPr>
          <w:rFonts w:hint="eastAsia"/>
        </w:rPr>
        <w:t>美国复苏与再投资法案》</w:t>
      </w:r>
      <w:r>
        <w:rPr>
          <w:rFonts w:hint="eastAsia"/>
        </w:rPr>
        <w:t>(ARRA</w:t>
      </w:r>
      <w:r>
        <w:rPr>
          <w:rFonts w:hint="eastAsia"/>
        </w:rPr>
        <w:t>）</w:t>
      </w:r>
      <w:r>
        <w:rPr>
          <w:rFonts w:hint="eastAsia"/>
        </w:rPr>
        <w:t xml:space="preserve"> </w:t>
      </w:r>
      <w:r>
        <w:rPr>
          <w:rFonts w:hint="eastAsia"/>
        </w:rPr>
        <w:t>达到了</w:t>
      </w:r>
      <w:r>
        <w:rPr>
          <w:rFonts w:hint="eastAsia"/>
        </w:rPr>
        <w:t>71</w:t>
      </w:r>
      <w:r>
        <w:rPr>
          <w:rFonts w:hint="eastAsia"/>
        </w:rPr>
        <w:t>亿美元。约</w:t>
      </w:r>
      <w:r>
        <w:rPr>
          <w:rFonts w:hint="eastAsia"/>
        </w:rPr>
        <w:t>30</w:t>
      </w:r>
      <w:r>
        <w:rPr>
          <w:rFonts w:hint="eastAsia"/>
        </w:rPr>
        <w:t>亿</w:t>
      </w:r>
      <w:r>
        <w:rPr>
          <w:rFonts w:hint="eastAsia"/>
        </w:rPr>
        <w:t xml:space="preserve"> </w:t>
      </w:r>
      <w:r>
        <w:rPr>
          <w:rFonts w:hint="eastAsia"/>
        </w:rPr>
        <w:t>美元的</w:t>
      </w:r>
      <w:r>
        <w:rPr>
          <w:rFonts w:hint="eastAsia"/>
        </w:rPr>
        <w:t xml:space="preserve">ARRA </w:t>
      </w:r>
      <w:r>
        <w:rPr>
          <w:rFonts w:hint="eastAsia"/>
        </w:rPr>
        <w:t>资金投入了可再生能源和提高能源效率方面（分配大致均匀）。到</w:t>
      </w:r>
      <w:r>
        <w:rPr>
          <w:rFonts w:hint="eastAsia"/>
        </w:rPr>
        <w:t>2011</w:t>
      </w:r>
      <w:r>
        <w:rPr>
          <w:rFonts w:hint="eastAsia"/>
        </w:rPr>
        <w:t>年，美国的研发示范资金额下降，但仍高达</w:t>
      </w:r>
      <w:r>
        <w:rPr>
          <w:rFonts w:hint="eastAsia"/>
        </w:rPr>
        <w:t>40</w:t>
      </w:r>
      <w:r>
        <w:rPr>
          <w:rFonts w:hint="eastAsia"/>
        </w:rPr>
        <w:t>亿美元。</w:t>
      </w:r>
    </w:p>
    <w:p w:rsidR="00CA619C" w:rsidRDefault="00CA619C" w:rsidP="00CA619C">
      <w:pPr>
        <w:ind w:firstLine="480"/>
        <w:rPr>
          <w:rFonts w:hint="eastAsia"/>
        </w:rPr>
      </w:pPr>
      <w:r>
        <w:rPr>
          <w:rFonts w:hint="eastAsia"/>
        </w:rPr>
        <w:t>我国新兴能源产业具有不确定性，一项关键技术的变化可能影响一个大的系统变动，可能产生系统性风险。例如，一座火电厂既消耗煤炭，同时还消耗油品，大量煤炭还需要可靠的运输来保障；火电、风电、光伏发电，都同时接入电网，从发电端到用户端，某一环出现事故都会对整个系统产生影响。所以，新兴能源技术在产业化过程中必须示范先行，既要对具体的技术开展示范，还要对相应的标准、财税政策，以及商业模式等开展示范，为未来大规模应用积累技术数据和运行经验。例如，在储能示范项目中，要结合考虑各类储能技术的性能，在全面评价基础上，根据具体用途选用合适的储能技术；早期的储能示范项目还可先与风电、光伏等相结合，探索风光储一体化模式。</w:t>
      </w:r>
    </w:p>
    <w:p w:rsidR="00CA619C" w:rsidRDefault="00CA619C" w:rsidP="00CA619C">
      <w:pPr>
        <w:pStyle w:val="Heading3"/>
        <w:numPr>
          <w:ilvl w:val="2"/>
          <w:numId w:val="1"/>
        </w:numPr>
        <w:tabs>
          <w:tab w:val="clear" w:pos="720"/>
        </w:tabs>
        <w:rPr>
          <w:rFonts w:hint="eastAsia"/>
        </w:rPr>
      </w:pPr>
      <w:bookmarkStart w:id="203" w:name="_Toc392853191"/>
      <w:r>
        <w:rPr>
          <w:rFonts w:hint="eastAsia"/>
        </w:rPr>
        <w:t>完善价格、环保等监管体系</w:t>
      </w:r>
      <w:bookmarkEnd w:id="203"/>
    </w:p>
    <w:p w:rsidR="00CA619C" w:rsidRDefault="00CA619C" w:rsidP="00CA619C">
      <w:pPr>
        <w:ind w:firstLine="480"/>
        <w:rPr>
          <w:rFonts w:hint="eastAsia"/>
        </w:rPr>
      </w:pPr>
      <w:r>
        <w:rPr>
          <w:rFonts w:hint="eastAsia"/>
        </w:rPr>
        <w:t>发展新能源产业一定要有技术的持续性突破。目前，我国的新能源领域，很多技术是从境外通过便捷途径进入国内，利用国内较低的资源及运行成本，快速形成了规模化生产，并采取低价竞争策略，不仅扰乱了整个行业的秩序，而且严重打击了本土新兴产业的技术创新能力。由于当前业界对鼓励发展什么样的新能源技术与市场争议比较大，结果导致相关政策迟迟不能出台。为了新能源产业的良性发展，应该及时出台相关管理和约束政策。</w:t>
      </w:r>
    </w:p>
    <w:p w:rsidR="00CA619C" w:rsidRDefault="00CA619C" w:rsidP="00CA619C">
      <w:pPr>
        <w:ind w:firstLine="480"/>
        <w:rPr>
          <w:rFonts w:hint="eastAsia"/>
        </w:rPr>
      </w:pPr>
      <w:r>
        <w:rPr>
          <w:rFonts w:hint="eastAsia"/>
        </w:rPr>
        <w:t>新兴能源产业是一个受管制的行业。在价格监管方面，要尽早推动价格市场化。例如，油气管网要进一步向社会资本放开，同时，尽快建立起油气管网的监管制度，保证油气管网运营者的独立、公平，防止形成新的垄断，从制度上确保中小企业和民营企业开采非常规油气资源后能够进入油气市场。电网作为保障安全可靠供电的公用事业，承担着满足经济社会快速增长的电力需求和促进环境保护和资源高效利用，推进节能降耗，保护生态环境，促进人与自然和谐发展的责任，因此，电网应该对新能源和可再生能源发电要无歧视上网。国家应尽快明确相关法律规定，以法律的手段强制要求电网企业承担责任。</w:t>
      </w:r>
    </w:p>
    <w:p w:rsidR="00CA619C" w:rsidRDefault="00CA619C" w:rsidP="00CA619C">
      <w:pPr>
        <w:ind w:firstLine="480"/>
        <w:rPr>
          <w:rFonts w:hint="eastAsia"/>
        </w:rPr>
      </w:pPr>
      <w:r>
        <w:rPr>
          <w:rFonts w:hint="eastAsia"/>
        </w:rPr>
        <w:t>同时，新兴能源产业发展对环境的要求也比较高。例如页岩气开发的环境影响问题、光伏制造的环保问题、储能电池的回收环保问题等。拿光伏制造行业来说，一些地方政府和环保部门为了上项目保发展而有意放松监管，严重影响了中国光伏产品的形象和国际竞争力。有关部门没有及时出台或更新有关光伏产业的环保和产品标准，而企业为压低成本有意减少必需的污染控制投入，其结果是在国外没有产生污染的光伏产业，在国内却成为一些地方的重要污染源，加上由于一些生产规模小、技术水平低的企业生产的产品质量得不到保证，导致进入国际市场的中国产光伏产品质量参差不齐，退货等质量纠纷事件不断增加。</w:t>
      </w:r>
    </w:p>
    <w:p w:rsidR="00CA619C" w:rsidRDefault="00CA619C" w:rsidP="00CA619C">
      <w:pPr>
        <w:ind w:firstLine="480"/>
        <w:rPr>
          <w:rFonts w:hint="eastAsia"/>
        </w:rPr>
      </w:pPr>
      <w:r>
        <w:rPr>
          <w:rFonts w:hint="eastAsia"/>
        </w:rPr>
        <w:t>所以，新兴能源发展必须要加强对环境影响的监管，建立环保监管体系。如果价格、环保，以及社会监管等不到位，就可能导致这个产业混乱，最终导致产业技术创新中断、中止。这样的问题属于社会性问题，应坚决杜绝发生。</w:t>
      </w:r>
    </w:p>
    <w:p w:rsidR="00CA619C" w:rsidRDefault="00CA619C" w:rsidP="00CA619C">
      <w:pPr>
        <w:pStyle w:val="Heading3"/>
        <w:numPr>
          <w:ilvl w:val="2"/>
          <w:numId w:val="1"/>
        </w:numPr>
        <w:tabs>
          <w:tab w:val="clear" w:pos="720"/>
        </w:tabs>
        <w:rPr>
          <w:rFonts w:hint="eastAsia"/>
        </w:rPr>
      </w:pPr>
      <w:bookmarkStart w:id="204" w:name="_Toc392853192"/>
      <w:r>
        <w:rPr>
          <w:rFonts w:hint="eastAsia"/>
        </w:rPr>
        <w:t>积极推进市场开放</w:t>
      </w:r>
      <w:bookmarkEnd w:id="204"/>
    </w:p>
    <w:p w:rsidR="00CA619C" w:rsidRDefault="00CA619C" w:rsidP="00CA619C">
      <w:pPr>
        <w:ind w:firstLine="480"/>
        <w:rPr>
          <w:rFonts w:hint="eastAsia"/>
        </w:rPr>
      </w:pPr>
      <w:r>
        <w:rPr>
          <w:rFonts w:hint="eastAsia"/>
        </w:rPr>
        <w:t>十八届三中全会通过的《中共中央关于全面深化改革若干重大问题的决定》提出：“要准确界定不同国有企业功能。国有资本继续控股经营的自然垄断行业，实行以政企分开、政资分开、特许经营、政府监管为主要内容的改革，根据不同行业特点实行网运分开、放开竞争性业务，推进公共资源配置市场化，进一步破除各种形式的行政垄断。完善主要由市场决定价格的机制。凡是能由市场形成价格的都交给市场，政府不进行不当干预。推进水、石油、天然气、电力、交通、电信等领域价格改革，放开竞争性环节价格。政府定价范围主要限定在重要公用事业、公益性服务、网络型自然垄断环节，提高透明度，接受社会监督。同时，逐步取消竞争性领域专项和地方资金配套。”</w:t>
      </w:r>
    </w:p>
    <w:p w:rsidR="00CA619C" w:rsidRDefault="00CA619C" w:rsidP="00CA619C">
      <w:pPr>
        <w:ind w:firstLine="480"/>
        <w:rPr>
          <w:rFonts w:hint="eastAsia"/>
        </w:rPr>
      </w:pPr>
      <w:r>
        <w:rPr>
          <w:rFonts w:hint="eastAsia"/>
        </w:rPr>
        <w:t>体制问题一直是我国新兴能源产业发展面临的一大难题，尤其关于垄断环节的市场准入问题。我国油气管网设施、输电网络等基本上都是由国有企业垄断经营，尚未对社会资本及市场主体开放，这严重阻碍了新兴能源产业发展和技术创新。建议我国尽快落实十八届三中全会关于全面深化改革的决定，放开竞争性业务，推进公共资源配置市场化，进一步破除各种形式的行政垄断。现阶段，我国亟需尽早推动油气管网准入机制，并要进一步向社会资本放开管网建设，同时尽快建立起油气管网的监管制度，保证油气管网运营者的独立、公平，防止形成新的垄断，从制度上确保中小企业和民营企业开采非常规油气资源后能够进入油气市场。此外，我国还需要尽快明确相关法律规定，以法律等手段强制要求电网企业承担责任，对新能源和可再生能源发电上网要无歧视接入等。</w:t>
      </w:r>
    </w:p>
    <w:p w:rsidR="00FF6CCE" w:rsidRDefault="00FF6CCE" w:rsidP="00CA619C">
      <w:pPr>
        <w:ind w:firstLine="480"/>
        <w:sectPr w:rsidR="00FF6CCE">
          <w:pgSz w:w="11906" w:h="16838"/>
          <w:pgMar w:top="1440" w:right="1800" w:bottom="1440" w:left="1800" w:header="851" w:footer="992" w:gutter="0"/>
          <w:cols w:space="720"/>
          <w:docGrid w:type="lines" w:linePitch="312"/>
        </w:sectPr>
      </w:pPr>
    </w:p>
    <w:p w:rsidR="00CA619C" w:rsidRDefault="00CA619C" w:rsidP="00CA619C">
      <w:pPr>
        <w:ind w:firstLine="480"/>
      </w:pPr>
    </w:p>
    <w:p w:rsidR="00CA619C" w:rsidRDefault="00CA619C" w:rsidP="00CA619C">
      <w:pPr>
        <w:ind w:firstLine="480"/>
      </w:pPr>
    </w:p>
    <w:p w:rsidR="00FF6CCE" w:rsidRDefault="00FF6CCE" w:rsidP="00FF6CCE">
      <w:pPr>
        <w:spacing w:line="640" w:lineRule="exact"/>
        <w:jc w:val="center"/>
        <w:textAlignment w:val="baseline"/>
        <w:rPr>
          <w:rFonts w:ascii="宋体" w:hAnsi="宋体" w:hint="eastAsia"/>
          <w:b/>
          <w:bCs/>
          <w:sz w:val="44"/>
          <w:szCs w:val="44"/>
        </w:rPr>
      </w:pPr>
    </w:p>
    <w:p w:rsidR="00FF6CCE" w:rsidRDefault="00FF6CCE" w:rsidP="00FF6CCE">
      <w:pPr>
        <w:spacing w:line="640" w:lineRule="exact"/>
        <w:jc w:val="center"/>
        <w:textAlignment w:val="baseline"/>
        <w:rPr>
          <w:rFonts w:ascii="宋体" w:hAnsi="宋体" w:hint="eastAsia"/>
          <w:b/>
          <w:bCs/>
          <w:sz w:val="44"/>
          <w:szCs w:val="44"/>
        </w:rPr>
      </w:pPr>
    </w:p>
    <w:p w:rsidR="00FF6CCE" w:rsidRDefault="00FF6CCE" w:rsidP="00FF6CCE">
      <w:pPr>
        <w:spacing w:line="640" w:lineRule="exact"/>
        <w:jc w:val="center"/>
        <w:textAlignment w:val="baseline"/>
        <w:rPr>
          <w:rFonts w:ascii="宋体" w:hAnsi="宋体" w:hint="eastAsia"/>
          <w:b/>
          <w:bCs/>
          <w:sz w:val="44"/>
          <w:szCs w:val="44"/>
        </w:rPr>
      </w:pPr>
    </w:p>
    <w:p w:rsidR="00FF6CCE" w:rsidRDefault="00FF6CCE" w:rsidP="00FF6CCE">
      <w:pPr>
        <w:spacing w:line="640" w:lineRule="exact"/>
        <w:jc w:val="center"/>
        <w:textAlignment w:val="baseline"/>
        <w:rPr>
          <w:rFonts w:ascii="宋体" w:hAnsi="宋体" w:hint="eastAsia"/>
          <w:b/>
          <w:bCs/>
          <w:sz w:val="44"/>
          <w:szCs w:val="44"/>
        </w:rPr>
      </w:pPr>
      <w:r>
        <w:rPr>
          <w:rFonts w:ascii="宋体" w:hAnsi="宋体" w:hint="eastAsia"/>
          <w:b/>
          <w:bCs/>
          <w:sz w:val="44"/>
          <w:szCs w:val="44"/>
        </w:rPr>
        <w:t>中国新兴能源产业的创新支撑体系及政策研究</w:t>
      </w:r>
    </w:p>
    <w:p w:rsidR="00FF6CCE" w:rsidRDefault="00FF6CCE" w:rsidP="00FF6CCE">
      <w:pPr>
        <w:jc w:val="center"/>
        <w:textAlignment w:val="baseline"/>
        <w:rPr>
          <w:rFonts w:ascii="Times" w:eastAsia="华文仿宋" w:hAnsi="Times" w:hint="eastAsia"/>
          <w:b/>
          <w:bCs/>
          <w:sz w:val="44"/>
        </w:rPr>
      </w:pPr>
    </w:p>
    <w:p w:rsidR="00FF6CCE" w:rsidRDefault="00FF6CCE" w:rsidP="00FF6CCE">
      <w:pPr>
        <w:jc w:val="center"/>
        <w:textAlignment w:val="baseline"/>
        <w:rPr>
          <w:rFonts w:ascii="Times" w:eastAsia="华文仿宋" w:hAnsi="Times" w:hint="eastAsia"/>
          <w:b/>
          <w:bCs/>
          <w:sz w:val="44"/>
        </w:rPr>
      </w:pPr>
    </w:p>
    <w:p w:rsidR="00FF6CCE" w:rsidRDefault="00FF6CCE" w:rsidP="00FF6CCE">
      <w:pPr>
        <w:jc w:val="center"/>
        <w:textAlignment w:val="baseline"/>
        <w:rPr>
          <w:rFonts w:ascii="Times" w:eastAsia="华文仿宋" w:hAnsi="Times" w:hint="eastAsia"/>
          <w:b/>
          <w:bCs/>
          <w:sz w:val="44"/>
        </w:rPr>
      </w:pPr>
      <w:r>
        <w:rPr>
          <w:rFonts w:ascii="Times" w:eastAsia="华文仿宋" w:hAnsi="Times" w:hint="eastAsia"/>
          <w:b/>
          <w:bCs/>
          <w:sz w:val="44"/>
        </w:rPr>
        <w:t>（附件报告）</w:t>
      </w:r>
    </w:p>
    <w:p w:rsidR="00FF6CCE" w:rsidRDefault="00FF6CCE" w:rsidP="00FF6CCE">
      <w:pPr>
        <w:jc w:val="center"/>
        <w:textAlignment w:val="baseline"/>
        <w:rPr>
          <w:rFonts w:ascii="Times" w:eastAsia="华文仿宋" w:hAnsi="Times" w:hint="eastAsia"/>
          <w:b/>
          <w:bCs/>
          <w:sz w:val="44"/>
        </w:rPr>
      </w:pPr>
    </w:p>
    <w:p w:rsidR="00FF6CCE" w:rsidRDefault="00FF6CCE" w:rsidP="00FF6CCE">
      <w:pPr>
        <w:jc w:val="center"/>
        <w:textAlignment w:val="baseline"/>
        <w:rPr>
          <w:rFonts w:ascii="Times" w:eastAsia="华文仿宋" w:hAnsi="Times" w:hint="eastAsia"/>
          <w:b/>
          <w:bCs/>
          <w:sz w:val="44"/>
        </w:rPr>
      </w:pPr>
    </w:p>
    <w:p w:rsidR="00FF6CCE" w:rsidRDefault="00FF6CCE" w:rsidP="00FF6CCE">
      <w:pPr>
        <w:jc w:val="center"/>
        <w:textAlignment w:val="baseline"/>
        <w:rPr>
          <w:rFonts w:ascii="Times" w:eastAsia="华文仿宋" w:hAnsi="Times" w:hint="eastAsia"/>
          <w:b/>
          <w:bCs/>
          <w:sz w:val="44"/>
        </w:rPr>
      </w:pPr>
    </w:p>
    <w:p w:rsidR="00FF6CCE" w:rsidRDefault="00FF6CCE" w:rsidP="00FF6CCE">
      <w:pPr>
        <w:jc w:val="center"/>
        <w:textAlignment w:val="baseline"/>
        <w:rPr>
          <w:rFonts w:ascii="Times" w:eastAsia="华文仿宋" w:hAnsi="Times" w:hint="eastAsia"/>
          <w:b/>
          <w:bCs/>
          <w:sz w:val="44"/>
        </w:rPr>
      </w:pPr>
    </w:p>
    <w:p w:rsidR="00FF6CCE" w:rsidRDefault="00FF6CCE" w:rsidP="00FF6CCE">
      <w:pPr>
        <w:jc w:val="center"/>
        <w:textAlignment w:val="baseline"/>
        <w:rPr>
          <w:rFonts w:ascii="Times" w:eastAsia="华文仿宋" w:hAnsi="Times" w:hint="eastAsia"/>
          <w:b/>
          <w:bCs/>
          <w:sz w:val="44"/>
        </w:rPr>
      </w:pPr>
    </w:p>
    <w:p w:rsidR="00FF6CCE" w:rsidRDefault="00FF6CCE" w:rsidP="00FF6CCE">
      <w:pPr>
        <w:jc w:val="center"/>
        <w:textAlignment w:val="baseline"/>
        <w:rPr>
          <w:rFonts w:ascii="Times" w:eastAsia="华文仿宋" w:hAnsi="Times" w:hint="eastAsia"/>
          <w:b/>
          <w:bCs/>
          <w:sz w:val="44"/>
        </w:rPr>
      </w:pPr>
    </w:p>
    <w:p w:rsidR="00FF6CCE" w:rsidRDefault="00FF6CCE" w:rsidP="00FF6CCE">
      <w:pPr>
        <w:jc w:val="center"/>
        <w:textAlignment w:val="baseline"/>
        <w:rPr>
          <w:rFonts w:ascii="Times" w:eastAsia="华文仿宋" w:hAnsi="Times" w:hint="eastAsia"/>
          <w:b/>
          <w:bCs/>
          <w:sz w:val="44"/>
        </w:rPr>
      </w:pPr>
    </w:p>
    <w:p w:rsidR="00FF6CCE" w:rsidRDefault="00FF6CCE" w:rsidP="00FF6CCE">
      <w:pPr>
        <w:jc w:val="center"/>
        <w:textAlignment w:val="baseline"/>
        <w:rPr>
          <w:rFonts w:ascii="Times" w:eastAsia="华文仿宋" w:hAnsi="Times" w:hint="eastAsia"/>
          <w:b/>
          <w:bCs/>
          <w:sz w:val="44"/>
        </w:rPr>
      </w:pPr>
    </w:p>
    <w:p w:rsidR="00FF6CCE" w:rsidRDefault="00FF6CCE" w:rsidP="00FF6CCE">
      <w:pPr>
        <w:jc w:val="center"/>
        <w:textAlignment w:val="baseline"/>
        <w:rPr>
          <w:rFonts w:ascii="Times" w:eastAsia="华文仿宋" w:hAnsi="Times" w:hint="eastAsia"/>
          <w:b/>
          <w:bCs/>
          <w:sz w:val="44"/>
        </w:rPr>
      </w:pPr>
    </w:p>
    <w:p w:rsidR="00FF6CCE" w:rsidRDefault="00FF6CCE" w:rsidP="00FF6CCE">
      <w:pPr>
        <w:spacing w:line="640" w:lineRule="exact"/>
        <w:jc w:val="center"/>
        <w:textAlignment w:val="baseline"/>
        <w:rPr>
          <w:rFonts w:ascii="宋体" w:hAnsi="宋体" w:hint="eastAsia"/>
          <w:b/>
          <w:bCs/>
          <w:sz w:val="32"/>
          <w:szCs w:val="32"/>
        </w:rPr>
      </w:pPr>
      <w:r>
        <w:rPr>
          <w:rFonts w:ascii="宋体" w:hAnsi="宋体" w:hint="eastAsia"/>
          <w:b/>
          <w:bCs/>
          <w:sz w:val="32"/>
          <w:szCs w:val="32"/>
        </w:rPr>
        <w:t>清华大学产业发展与环境治理研究中心</w:t>
      </w:r>
    </w:p>
    <w:p w:rsidR="00FF6CCE" w:rsidRDefault="00FF6CCE" w:rsidP="00FF6CCE">
      <w:pPr>
        <w:spacing w:line="640" w:lineRule="exact"/>
        <w:jc w:val="center"/>
        <w:textAlignment w:val="baseline"/>
        <w:rPr>
          <w:rFonts w:ascii="宋体" w:hAnsi="宋体" w:hint="eastAsia"/>
          <w:b/>
          <w:bCs/>
          <w:sz w:val="32"/>
          <w:szCs w:val="32"/>
        </w:rPr>
        <w:sectPr w:rsidR="00FF6CCE">
          <w:headerReference w:type="default" r:id="rId50"/>
          <w:footerReference w:type="default" r:id="rId51"/>
          <w:pgSz w:w="11906" w:h="16838"/>
          <w:pgMar w:top="1361" w:right="1474" w:bottom="1361" w:left="1474" w:header="851" w:footer="567" w:gutter="0"/>
          <w:pgNumType w:fmt="upperRoman" w:start="1"/>
          <w:cols w:space="720"/>
          <w:docGrid w:type="linesAndChars" w:linePitch="312"/>
        </w:sectPr>
      </w:pPr>
      <w:r>
        <w:rPr>
          <w:rFonts w:ascii="宋体" w:hAnsi="宋体" w:hint="eastAsia"/>
          <w:b/>
          <w:bCs/>
          <w:sz w:val="32"/>
          <w:szCs w:val="32"/>
        </w:rPr>
        <w:t>二零一四</w:t>
      </w:r>
      <w:r>
        <w:rPr>
          <w:rFonts w:ascii="宋体" w:hAnsi="宋体"/>
          <w:b/>
          <w:bCs/>
          <w:sz w:val="32"/>
          <w:szCs w:val="32"/>
        </w:rPr>
        <w:t>年</w:t>
      </w:r>
    </w:p>
    <w:p w:rsidR="00FF6CCE" w:rsidRDefault="00FF6CCE" w:rsidP="00FF6CCE">
      <w:pPr>
        <w:jc w:val="center"/>
        <w:rPr>
          <w:rFonts w:hint="eastAsia"/>
          <w:b/>
          <w:sz w:val="32"/>
          <w:szCs w:val="32"/>
        </w:rPr>
      </w:pPr>
      <w:r>
        <w:rPr>
          <w:rFonts w:hint="eastAsia"/>
          <w:b/>
          <w:sz w:val="32"/>
          <w:szCs w:val="32"/>
        </w:rPr>
        <w:t>目</w:t>
      </w:r>
      <w:r>
        <w:rPr>
          <w:rFonts w:hint="eastAsia"/>
          <w:b/>
          <w:sz w:val="32"/>
          <w:szCs w:val="32"/>
        </w:rPr>
        <w:t xml:space="preserve">  </w:t>
      </w:r>
      <w:r>
        <w:rPr>
          <w:rFonts w:hint="eastAsia"/>
          <w:b/>
          <w:sz w:val="32"/>
          <w:szCs w:val="32"/>
        </w:rPr>
        <w:t>录</w:t>
      </w:r>
    </w:p>
    <w:p w:rsidR="00FF6CCE" w:rsidRDefault="00FF6CCE" w:rsidP="00FF6CCE">
      <w:pPr>
        <w:pStyle w:val="TOC1"/>
        <w:tabs>
          <w:tab w:val="right" w:leader="dot" w:pos="9170"/>
        </w:tabs>
        <w:spacing w:line="436" w:lineRule="exact"/>
        <w:ind w:firstLine="519"/>
        <w:rPr>
          <w:noProof/>
          <w:szCs w:val="24"/>
          <w:lang w:val="en-US" w:eastAsia="en-US"/>
        </w:rPr>
      </w:pPr>
      <w:r>
        <w:rPr>
          <w:b/>
          <w:szCs w:val="24"/>
        </w:rPr>
        <w:fldChar w:fldCharType="begin"/>
      </w:r>
      <w:r>
        <w:rPr>
          <w:b/>
          <w:szCs w:val="24"/>
        </w:rPr>
        <w:instrText xml:space="preserve"> </w:instrText>
      </w:r>
      <w:r>
        <w:rPr>
          <w:rFonts w:hint="eastAsia"/>
          <w:b/>
          <w:szCs w:val="24"/>
        </w:rPr>
        <w:instrText>TOC \o "1-3" \h \z \u</w:instrText>
      </w:r>
      <w:r>
        <w:rPr>
          <w:b/>
          <w:szCs w:val="24"/>
        </w:rPr>
        <w:instrText xml:space="preserve"> </w:instrText>
      </w:r>
      <w:r>
        <w:rPr>
          <w:b/>
          <w:szCs w:val="24"/>
        </w:rPr>
        <w:fldChar w:fldCharType="separate"/>
      </w:r>
    </w:p>
    <w:p w:rsidR="00FF6CCE" w:rsidRDefault="00FF6CCE" w:rsidP="00FF6CCE">
      <w:pPr>
        <w:pStyle w:val="TOC1"/>
        <w:tabs>
          <w:tab w:val="left" w:pos="1050"/>
          <w:tab w:val="right" w:leader="dot" w:pos="9170"/>
        </w:tabs>
        <w:spacing w:line="436" w:lineRule="exact"/>
        <w:ind w:firstLine="480"/>
        <w:rPr>
          <w:noProof/>
          <w:szCs w:val="24"/>
          <w:lang w:val="en-US" w:eastAsia="en-US"/>
        </w:rPr>
      </w:pPr>
      <w:hyperlink w:anchor="_Toc392513018" w:history="1">
        <w:r>
          <w:rPr>
            <w:rStyle w:val="Hyperlink"/>
            <w:noProof/>
            <w:sz w:val="24"/>
            <w:szCs w:val="24"/>
            <w:lang w:val="en-US" w:eastAsia="en-US"/>
          </w:rPr>
          <w:t>1.</w:t>
        </w:r>
        <w:r>
          <w:rPr>
            <w:noProof/>
            <w:szCs w:val="24"/>
            <w:lang w:val="en-US" w:eastAsia="en-US"/>
          </w:rPr>
          <w:tab/>
        </w:r>
        <w:r>
          <w:rPr>
            <w:rStyle w:val="Hyperlink"/>
            <w:rFonts w:hint="eastAsia"/>
            <w:noProof/>
            <w:sz w:val="24"/>
            <w:szCs w:val="24"/>
            <w:lang w:val="en-US" w:eastAsia="en-US"/>
          </w:rPr>
          <w:t>前言</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_Toc392513018 \h </w:instrText>
        </w:r>
        <w:r w:rsidRPr="00E83B08">
          <w:rPr>
            <w:noProof/>
            <w:szCs w:val="24"/>
            <w:lang w:val="en-US" w:eastAsia="en-US"/>
          </w:rPr>
        </w:r>
        <w:r>
          <w:rPr>
            <w:noProof/>
            <w:szCs w:val="24"/>
            <w:lang w:val="en-US" w:eastAsia="en-US"/>
          </w:rPr>
          <w:fldChar w:fldCharType="separate"/>
        </w:r>
        <w:r w:rsidR="00B77118">
          <w:rPr>
            <w:noProof/>
            <w:szCs w:val="24"/>
            <w:lang w:val="en-US" w:eastAsia="en-US"/>
          </w:rPr>
          <w:t>3</w:t>
        </w:r>
        <w:r>
          <w:rPr>
            <w:noProof/>
            <w:szCs w:val="24"/>
            <w:lang w:val="en-US" w:eastAsia="en-US"/>
          </w:rPr>
          <w:fldChar w:fldCharType="end"/>
        </w:r>
      </w:hyperlink>
    </w:p>
    <w:p w:rsidR="00FF6CCE" w:rsidRDefault="00FF6CCE" w:rsidP="00FF6CCE">
      <w:pPr>
        <w:pStyle w:val="TOC1"/>
        <w:tabs>
          <w:tab w:val="left" w:pos="1050"/>
          <w:tab w:val="right" w:leader="dot" w:pos="9170"/>
        </w:tabs>
        <w:spacing w:line="436" w:lineRule="exact"/>
        <w:ind w:firstLine="480"/>
        <w:rPr>
          <w:noProof/>
          <w:szCs w:val="24"/>
          <w:lang w:val="en-US" w:eastAsia="en-US"/>
        </w:rPr>
      </w:pPr>
      <w:hyperlink w:anchor="_Toc392513019" w:history="1">
        <w:r>
          <w:rPr>
            <w:rStyle w:val="Hyperlink"/>
            <w:noProof/>
            <w:sz w:val="24"/>
            <w:szCs w:val="24"/>
            <w:lang w:val="en-US" w:eastAsia="en-US"/>
          </w:rPr>
          <w:t>2.</w:t>
        </w:r>
        <w:r>
          <w:rPr>
            <w:noProof/>
            <w:szCs w:val="24"/>
            <w:lang w:val="en-US" w:eastAsia="en-US"/>
          </w:rPr>
          <w:tab/>
        </w:r>
        <w:r>
          <w:rPr>
            <w:rStyle w:val="Hyperlink"/>
            <w:rFonts w:hint="eastAsia"/>
            <w:noProof/>
            <w:sz w:val="24"/>
            <w:szCs w:val="24"/>
            <w:lang w:val="en-US" w:eastAsia="en-US"/>
          </w:rPr>
          <w:t>扶持清洁能源的根本原因</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_Toc392513019 \h </w:instrText>
        </w:r>
        <w:r w:rsidRPr="00E83B08">
          <w:rPr>
            <w:noProof/>
            <w:szCs w:val="24"/>
            <w:lang w:val="en-US" w:eastAsia="en-US"/>
          </w:rPr>
        </w:r>
        <w:r>
          <w:rPr>
            <w:noProof/>
            <w:szCs w:val="24"/>
            <w:lang w:val="en-US" w:eastAsia="en-US"/>
          </w:rPr>
          <w:fldChar w:fldCharType="separate"/>
        </w:r>
        <w:r w:rsidR="00B77118">
          <w:rPr>
            <w:noProof/>
            <w:szCs w:val="24"/>
            <w:lang w:val="en-US" w:eastAsia="en-US"/>
          </w:rPr>
          <w:t>4</w:t>
        </w:r>
        <w:r>
          <w:rPr>
            <w:noProof/>
            <w:szCs w:val="24"/>
            <w:lang w:val="en-US" w:eastAsia="en-US"/>
          </w:rPr>
          <w:fldChar w:fldCharType="end"/>
        </w:r>
      </w:hyperlink>
    </w:p>
    <w:p w:rsidR="00FF6CCE" w:rsidRDefault="00FF6CCE" w:rsidP="00FF6CCE">
      <w:pPr>
        <w:pStyle w:val="TOC1"/>
        <w:tabs>
          <w:tab w:val="left" w:pos="1050"/>
          <w:tab w:val="right" w:leader="dot" w:pos="9170"/>
        </w:tabs>
        <w:spacing w:line="436" w:lineRule="exact"/>
        <w:ind w:firstLine="480"/>
        <w:rPr>
          <w:noProof/>
          <w:szCs w:val="24"/>
          <w:lang w:val="en-US" w:eastAsia="en-US"/>
        </w:rPr>
      </w:pPr>
      <w:hyperlink w:anchor="_Toc392513020" w:history="1">
        <w:r>
          <w:rPr>
            <w:rStyle w:val="Hyperlink"/>
            <w:noProof/>
            <w:sz w:val="24"/>
            <w:szCs w:val="24"/>
            <w:lang w:val="en-US" w:eastAsia="en-US"/>
          </w:rPr>
          <w:t>3.</w:t>
        </w:r>
        <w:r>
          <w:rPr>
            <w:noProof/>
            <w:szCs w:val="24"/>
            <w:lang w:val="en-US" w:eastAsia="en-US"/>
          </w:rPr>
          <w:tab/>
        </w:r>
        <w:r>
          <w:rPr>
            <w:rStyle w:val="Hyperlink"/>
            <w:rFonts w:hint="eastAsia"/>
            <w:noProof/>
            <w:sz w:val="24"/>
            <w:szCs w:val="24"/>
            <w:lang w:val="en-US" w:eastAsia="en-US"/>
          </w:rPr>
          <w:t>美国清洁能源扶持体系：投资、专利申请和政策</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_Toc392513020 \h </w:instrText>
        </w:r>
        <w:r w:rsidRPr="00E83B08">
          <w:rPr>
            <w:noProof/>
            <w:szCs w:val="24"/>
            <w:lang w:val="en-US" w:eastAsia="en-US"/>
          </w:rPr>
        </w:r>
        <w:r>
          <w:rPr>
            <w:noProof/>
            <w:szCs w:val="24"/>
            <w:lang w:val="en-US" w:eastAsia="en-US"/>
          </w:rPr>
          <w:fldChar w:fldCharType="separate"/>
        </w:r>
        <w:r w:rsidR="00B77118">
          <w:rPr>
            <w:noProof/>
            <w:szCs w:val="24"/>
            <w:lang w:val="en-US" w:eastAsia="en-US"/>
          </w:rPr>
          <w:t>4</w:t>
        </w:r>
        <w:r>
          <w:rPr>
            <w:noProof/>
            <w:szCs w:val="24"/>
            <w:lang w:val="en-US" w:eastAsia="en-US"/>
          </w:rPr>
          <w:fldChar w:fldCharType="end"/>
        </w:r>
      </w:hyperlink>
    </w:p>
    <w:p w:rsidR="00FF6CCE" w:rsidRDefault="00FF6CCE" w:rsidP="00FF6CCE">
      <w:pPr>
        <w:pStyle w:val="TOC2"/>
        <w:tabs>
          <w:tab w:val="left" w:pos="1680"/>
          <w:tab w:val="right" w:leader="dot" w:pos="9170"/>
        </w:tabs>
        <w:spacing w:line="436" w:lineRule="exact"/>
        <w:ind w:firstLine="480"/>
        <w:rPr>
          <w:noProof/>
          <w:szCs w:val="24"/>
          <w:lang w:val="en-US" w:eastAsia="en-US"/>
        </w:rPr>
      </w:pPr>
      <w:hyperlink w:anchor="_Toc392513021" w:history="1">
        <w:r>
          <w:rPr>
            <w:rStyle w:val="Hyperlink"/>
            <w:noProof/>
            <w:sz w:val="24"/>
            <w:szCs w:val="24"/>
            <w:lang w:val="en-US" w:eastAsia="en-US"/>
          </w:rPr>
          <w:t>3.1.</w:t>
        </w:r>
        <w:r>
          <w:rPr>
            <w:noProof/>
            <w:szCs w:val="24"/>
            <w:lang w:val="en-US" w:eastAsia="en-US"/>
          </w:rPr>
          <w:tab/>
        </w:r>
        <w:r>
          <w:rPr>
            <w:rStyle w:val="Hyperlink"/>
            <w:rFonts w:hint="eastAsia"/>
            <w:noProof/>
            <w:sz w:val="24"/>
            <w:szCs w:val="24"/>
            <w:lang w:val="en-US" w:eastAsia="en-US"/>
          </w:rPr>
          <w:t>一般性投资和专利趋势</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_Toc392513021 \h </w:instrText>
        </w:r>
        <w:r w:rsidRPr="00E83B08">
          <w:rPr>
            <w:noProof/>
            <w:szCs w:val="24"/>
            <w:lang w:val="en-US" w:eastAsia="en-US"/>
          </w:rPr>
        </w:r>
        <w:r>
          <w:rPr>
            <w:noProof/>
            <w:szCs w:val="24"/>
            <w:lang w:val="en-US" w:eastAsia="en-US"/>
          </w:rPr>
          <w:fldChar w:fldCharType="separate"/>
        </w:r>
        <w:r w:rsidR="00B77118">
          <w:rPr>
            <w:noProof/>
            <w:szCs w:val="24"/>
            <w:lang w:val="en-US" w:eastAsia="en-US"/>
          </w:rPr>
          <w:t>4</w:t>
        </w:r>
        <w:r>
          <w:rPr>
            <w:noProof/>
            <w:szCs w:val="24"/>
            <w:lang w:val="en-US" w:eastAsia="en-US"/>
          </w:rPr>
          <w:fldChar w:fldCharType="end"/>
        </w:r>
      </w:hyperlink>
    </w:p>
    <w:p w:rsidR="00FF6CCE" w:rsidRDefault="00FF6CCE" w:rsidP="00FF6CCE">
      <w:pPr>
        <w:pStyle w:val="TOC2"/>
        <w:tabs>
          <w:tab w:val="left" w:pos="1680"/>
          <w:tab w:val="right" w:leader="dot" w:pos="9170"/>
        </w:tabs>
        <w:spacing w:line="436" w:lineRule="exact"/>
        <w:ind w:firstLine="480"/>
        <w:rPr>
          <w:noProof/>
          <w:szCs w:val="24"/>
          <w:lang w:val="en-US" w:eastAsia="en-US"/>
        </w:rPr>
      </w:pPr>
      <w:hyperlink w:anchor="_Toc392513022" w:history="1">
        <w:r>
          <w:rPr>
            <w:rStyle w:val="Hyperlink"/>
            <w:noProof/>
            <w:sz w:val="24"/>
            <w:szCs w:val="24"/>
            <w:lang w:val="en-US" w:eastAsia="en-US"/>
          </w:rPr>
          <w:t>3.2.</w:t>
        </w:r>
        <w:r>
          <w:rPr>
            <w:noProof/>
            <w:szCs w:val="24"/>
            <w:lang w:val="en-US" w:eastAsia="en-US"/>
          </w:rPr>
          <w:tab/>
        </w:r>
        <w:r>
          <w:rPr>
            <w:rStyle w:val="Hyperlink"/>
            <w:rFonts w:hint="eastAsia"/>
            <w:noProof/>
            <w:sz w:val="24"/>
            <w:szCs w:val="24"/>
            <w:lang w:val="en-US" w:eastAsia="en-US"/>
          </w:rPr>
          <w:t>全球环境下的美国清洁能源投资及创新</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_Toc392513022 \h </w:instrText>
        </w:r>
        <w:r w:rsidRPr="00E83B08">
          <w:rPr>
            <w:noProof/>
            <w:szCs w:val="24"/>
            <w:lang w:val="en-US" w:eastAsia="en-US"/>
          </w:rPr>
        </w:r>
        <w:r>
          <w:rPr>
            <w:noProof/>
            <w:szCs w:val="24"/>
            <w:lang w:val="en-US" w:eastAsia="en-US"/>
          </w:rPr>
          <w:fldChar w:fldCharType="separate"/>
        </w:r>
        <w:r w:rsidR="00B77118">
          <w:rPr>
            <w:noProof/>
            <w:szCs w:val="24"/>
            <w:lang w:val="en-US" w:eastAsia="en-US"/>
          </w:rPr>
          <w:t>5</w:t>
        </w:r>
        <w:r>
          <w:rPr>
            <w:noProof/>
            <w:szCs w:val="24"/>
            <w:lang w:val="en-US" w:eastAsia="en-US"/>
          </w:rPr>
          <w:fldChar w:fldCharType="end"/>
        </w:r>
      </w:hyperlink>
    </w:p>
    <w:p w:rsidR="00FF6CCE" w:rsidRDefault="00FF6CCE" w:rsidP="00FF6CCE">
      <w:pPr>
        <w:pStyle w:val="TOC3"/>
        <w:tabs>
          <w:tab w:val="left" w:pos="2070"/>
          <w:tab w:val="right" w:leader="dot" w:pos="9170"/>
        </w:tabs>
        <w:spacing w:line="436" w:lineRule="exact"/>
        <w:ind w:firstLine="480"/>
        <w:rPr>
          <w:noProof/>
          <w:szCs w:val="24"/>
          <w:lang w:val="en-US" w:eastAsia="en-US"/>
        </w:rPr>
      </w:pPr>
      <w:hyperlink w:anchor="_Toc392513023" w:history="1">
        <w:r>
          <w:rPr>
            <w:rStyle w:val="Hyperlink"/>
            <w:noProof/>
            <w:sz w:val="24"/>
            <w:szCs w:val="24"/>
            <w:lang w:val="en-US" w:eastAsia="en-US"/>
          </w:rPr>
          <w:t>3.2.1.</w:t>
        </w:r>
        <w:r>
          <w:rPr>
            <w:noProof/>
            <w:szCs w:val="24"/>
            <w:lang w:val="en-US" w:eastAsia="en-US"/>
          </w:rPr>
          <w:tab/>
        </w:r>
        <w:r>
          <w:rPr>
            <w:rStyle w:val="Hyperlink"/>
            <w:rFonts w:hint="eastAsia"/>
            <w:noProof/>
            <w:sz w:val="24"/>
            <w:szCs w:val="24"/>
            <w:lang w:val="en-US" w:eastAsia="en-US"/>
          </w:rPr>
          <w:t>投资和补贴</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_Toc392513023 \h </w:instrText>
        </w:r>
        <w:r w:rsidRPr="00E83B08">
          <w:rPr>
            <w:noProof/>
            <w:szCs w:val="24"/>
            <w:lang w:val="en-US" w:eastAsia="en-US"/>
          </w:rPr>
        </w:r>
        <w:r>
          <w:rPr>
            <w:noProof/>
            <w:szCs w:val="24"/>
            <w:lang w:val="en-US" w:eastAsia="en-US"/>
          </w:rPr>
          <w:fldChar w:fldCharType="separate"/>
        </w:r>
        <w:r w:rsidR="00B77118">
          <w:rPr>
            <w:noProof/>
            <w:szCs w:val="24"/>
            <w:lang w:val="en-US" w:eastAsia="en-US"/>
          </w:rPr>
          <w:t>5</w:t>
        </w:r>
        <w:r>
          <w:rPr>
            <w:noProof/>
            <w:szCs w:val="24"/>
            <w:lang w:val="en-US" w:eastAsia="en-US"/>
          </w:rPr>
          <w:fldChar w:fldCharType="end"/>
        </w:r>
      </w:hyperlink>
    </w:p>
    <w:p w:rsidR="00FF6CCE" w:rsidRDefault="00FF6CCE" w:rsidP="00FF6CCE">
      <w:pPr>
        <w:pStyle w:val="TOC3"/>
        <w:tabs>
          <w:tab w:val="left" w:pos="2070"/>
          <w:tab w:val="right" w:leader="dot" w:pos="9170"/>
        </w:tabs>
        <w:spacing w:line="436" w:lineRule="exact"/>
        <w:ind w:firstLine="480"/>
        <w:rPr>
          <w:noProof/>
          <w:szCs w:val="24"/>
          <w:lang w:val="en-US" w:eastAsia="en-US"/>
        </w:rPr>
      </w:pPr>
      <w:hyperlink w:anchor="_Toc392513024" w:history="1">
        <w:r>
          <w:rPr>
            <w:rStyle w:val="Hyperlink"/>
            <w:noProof/>
            <w:sz w:val="24"/>
            <w:szCs w:val="24"/>
            <w:lang w:val="en-US" w:eastAsia="en-US"/>
          </w:rPr>
          <w:t>3.2.2.</w:t>
        </w:r>
        <w:r>
          <w:rPr>
            <w:noProof/>
            <w:szCs w:val="24"/>
            <w:lang w:val="en-US" w:eastAsia="en-US"/>
          </w:rPr>
          <w:tab/>
        </w:r>
        <w:r>
          <w:rPr>
            <w:rStyle w:val="Hyperlink"/>
            <w:rFonts w:hint="eastAsia"/>
            <w:noProof/>
            <w:sz w:val="24"/>
            <w:szCs w:val="24"/>
            <w:lang w:val="en-US" w:eastAsia="en-US"/>
          </w:rPr>
          <w:t>研究、发展和示范方面的支持</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_Toc392513024 \h </w:instrText>
        </w:r>
        <w:r w:rsidRPr="00E83B08">
          <w:rPr>
            <w:noProof/>
            <w:szCs w:val="24"/>
            <w:lang w:val="en-US" w:eastAsia="en-US"/>
          </w:rPr>
        </w:r>
        <w:r>
          <w:rPr>
            <w:noProof/>
            <w:szCs w:val="24"/>
            <w:lang w:val="en-US" w:eastAsia="en-US"/>
          </w:rPr>
          <w:fldChar w:fldCharType="separate"/>
        </w:r>
        <w:r w:rsidR="00B77118">
          <w:rPr>
            <w:noProof/>
            <w:szCs w:val="24"/>
            <w:lang w:val="en-US" w:eastAsia="en-US"/>
          </w:rPr>
          <w:t>6</w:t>
        </w:r>
        <w:r>
          <w:rPr>
            <w:noProof/>
            <w:szCs w:val="24"/>
            <w:lang w:val="en-US" w:eastAsia="en-US"/>
          </w:rPr>
          <w:fldChar w:fldCharType="end"/>
        </w:r>
      </w:hyperlink>
    </w:p>
    <w:p w:rsidR="00FF6CCE" w:rsidRDefault="00FF6CCE" w:rsidP="00FF6CCE">
      <w:pPr>
        <w:pStyle w:val="TOC3"/>
        <w:tabs>
          <w:tab w:val="left" w:pos="2070"/>
          <w:tab w:val="right" w:leader="dot" w:pos="9170"/>
        </w:tabs>
        <w:spacing w:line="436" w:lineRule="exact"/>
        <w:ind w:firstLine="480"/>
        <w:rPr>
          <w:noProof/>
          <w:szCs w:val="24"/>
          <w:lang w:val="en-US" w:eastAsia="en-US"/>
        </w:rPr>
      </w:pPr>
      <w:hyperlink w:anchor="_Toc392513025" w:history="1">
        <w:r>
          <w:rPr>
            <w:rStyle w:val="Hyperlink"/>
            <w:noProof/>
            <w:sz w:val="24"/>
            <w:szCs w:val="24"/>
            <w:lang w:val="en-US" w:eastAsia="en-US"/>
          </w:rPr>
          <w:t>3.2.3.</w:t>
        </w:r>
        <w:r>
          <w:rPr>
            <w:noProof/>
            <w:szCs w:val="24"/>
            <w:lang w:val="en-US" w:eastAsia="en-US"/>
          </w:rPr>
          <w:tab/>
        </w:r>
        <w:r>
          <w:rPr>
            <w:rStyle w:val="Hyperlink"/>
            <w:rFonts w:hint="eastAsia"/>
            <w:noProof/>
            <w:sz w:val="24"/>
            <w:szCs w:val="24"/>
            <w:lang w:val="en-US" w:eastAsia="en-US"/>
          </w:rPr>
          <w:t>清洁能源专利</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_Toc392513025 \h </w:instrText>
        </w:r>
        <w:r w:rsidRPr="00E83B08">
          <w:rPr>
            <w:noProof/>
            <w:szCs w:val="24"/>
            <w:lang w:val="en-US" w:eastAsia="en-US"/>
          </w:rPr>
        </w:r>
        <w:r>
          <w:rPr>
            <w:noProof/>
            <w:szCs w:val="24"/>
            <w:lang w:val="en-US" w:eastAsia="en-US"/>
          </w:rPr>
          <w:fldChar w:fldCharType="separate"/>
        </w:r>
        <w:r w:rsidR="00B77118">
          <w:rPr>
            <w:noProof/>
            <w:szCs w:val="24"/>
            <w:lang w:val="en-US" w:eastAsia="en-US"/>
          </w:rPr>
          <w:t>7</w:t>
        </w:r>
        <w:r>
          <w:rPr>
            <w:noProof/>
            <w:szCs w:val="24"/>
            <w:lang w:val="en-US" w:eastAsia="en-US"/>
          </w:rPr>
          <w:fldChar w:fldCharType="end"/>
        </w:r>
      </w:hyperlink>
    </w:p>
    <w:p w:rsidR="00FF6CCE" w:rsidRDefault="00FF6CCE" w:rsidP="00FF6CCE">
      <w:pPr>
        <w:pStyle w:val="TOC2"/>
        <w:tabs>
          <w:tab w:val="left" w:pos="1680"/>
          <w:tab w:val="right" w:leader="dot" w:pos="9170"/>
        </w:tabs>
        <w:spacing w:line="436" w:lineRule="exact"/>
        <w:ind w:firstLine="480"/>
        <w:rPr>
          <w:noProof/>
          <w:szCs w:val="24"/>
          <w:lang w:val="en-US" w:eastAsia="en-US"/>
        </w:rPr>
      </w:pPr>
      <w:hyperlink w:anchor="_Toc392513026" w:history="1">
        <w:r>
          <w:rPr>
            <w:rStyle w:val="Hyperlink"/>
            <w:noProof/>
            <w:sz w:val="24"/>
            <w:szCs w:val="24"/>
            <w:lang w:val="en-US" w:eastAsia="en-US"/>
          </w:rPr>
          <w:t>3.3.</w:t>
        </w:r>
        <w:r>
          <w:rPr>
            <w:noProof/>
            <w:szCs w:val="24"/>
            <w:lang w:val="en-US" w:eastAsia="en-US"/>
          </w:rPr>
          <w:tab/>
        </w:r>
        <w:r>
          <w:rPr>
            <w:rStyle w:val="Hyperlink"/>
            <w:rFonts w:hint="eastAsia"/>
            <w:noProof/>
            <w:sz w:val="24"/>
            <w:szCs w:val="24"/>
            <w:lang w:val="en-US" w:eastAsia="en-US"/>
          </w:rPr>
          <w:t>扶持开展清洁能源的关键政策</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_Toc392513026 \h </w:instrText>
        </w:r>
        <w:r w:rsidRPr="00E83B08">
          <w:rPr>
            <w:noProof/>
            <w:szCs w:val="24"/>
            <w:lang w:val="en-US" w:eastAsia="en-US"/>
          </w:rPr>
        </w:r>
        <w:r>
          <w:rPr>
            <w:noProof/>
            <w:szCs w:val="24"/>
            <w:lang w:val="en-US" w:eastAsia="en-US"/>
          </w:rPr>
          <w:fldChar w:fldCharType="separate"/>
        </w:r>
        <w:r w:rsidR="00B77118">
          <w:rPr>
            <w:noProof/>
            <w:szCs w:val="24"/>
            <w:lang w:val="en-US" w:eastAsia="en-US"/>
          </w:rPr>
          <w:t>10</w:t>
        </w:r>
        <w:r>
          <w:rPr>
            <w:noProof/>
            <w:szCs w:val="24"/>
            <w:lang w:val="en-US" w:eastAsia="en-US"/>
          </w:rPr>
          <w:fldChar w:fldCharType="end"/>
        </w:r>
      </w:hyperlink>
    </w:p>
    <w:p w:rsidR="00FF6CCE" w:rsidRDefault="00FF6CCE" w:rsidP="00FF6CCE">
      <w:pPr>
        <w:pStyle w:val="TOC1"/>
        <w:tabs>
          <w:tab w:val="left" w:pos="1050"/>
          <w:tab w:val="right" w:leader="dot" w:pos="9170"/>
        </w:tabs>
        <w:spacing w:line="436" w:lineRule="exact"/>
        <w:ind w:firstLine="480"/>
        <w:rPr>
          <w:noProof/>
          <w:szCs w:val="24"/>
          <w:lang w:val="en-US" w:eastAsia="en-US"/>
        </w:rPr>
      </w:pPr>
      <w:hyperlink w:anchor="_Toc392513027" w:history="1">
        <w:r>
          <w:rPr>
            <w:rStyle w:val="Hyperlink"/>
            <w:noProof/>
            <w:sz w:val="24"/>
            <w:szCs w:val="24"/>
            <w:lang w:val="en-US" w:eastAsia="en-US"/>
          </w:rPr>
          <w:t>4.</w:t>
        </w:r>
        <w:r>
          <w:rPr>
            <w:noProof/>
            <w:szCs w:val="24"/>
            <w:lang w:val="en-US" w:eastAsia="en-US"/>
          </w:rPr>
          <w:tab/>
        </w:r>
        <w:r>
          <w:rPr>
            <w:rStyle w:val="Hyperlink"/>
            <w:rFonts w:hint="eastAsia"/>
            <w:noProof/>
            <w:sz w:val="24"/>
            <w:szCs w:val="24"/>
            <w:lang w:val="en-US" w:eastAsia="en-US"/>
          </w:rPr>
          <w:t>美国清洁能源创新体系内的机构</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_Toc392513027 \h </w:instrText>
        </w:r>
        <w:r w:rsidRPr="00E83B08">
          <w:rPr>
            <w:noProof/>
            <w:szCs w:val="24"/>
            <w:lang w:val="en-US" w:eastAsia="en-US"/>
          </w:rPr>
        </w:r>
        <w:r>
          <w:rPr>
            <w:noProof/>
            <w:szCs w:val="24"/>
            <w:lang w:val="en-US" w:eastAsia="en-US"/>
          </w:rPr>
          <w:fldChar w:fldCharType="separate"/>
        </w:r>
        <w:r w:rsidR="00B77118">
          <w:rPr>
            <w:noProof/>
            <w:szCs w:val="24"/>
            <w:lang w:val="en-US" w:eastAsia="en-US"/>
          </w:rPr>
          <w:t>12</w:t>
        </w:r>
        <w:r>
          <w:rPr>
            <w:noProof/>
            <w:szCs w:val="24"/>
            <w:lang w:val="en-US" w:eastAsia="en-US"/>
          </w:rPr>
          <w:fldChar w:fldCharType="end"/>
        </w:r>
      </w:hyperlink>
    </w:p>
    <w:p w:rsidR="00FF6CCE" w:rsidRDefault="00FF6CCE" w:rsidP="00FF6CCE">
      <w:pPr>
        <w:pStyle w:val="TOC2"/>
        <w:tabs>
          <w:tab w:val="left" w:pos="1680"/>
          <w:tab w:val="right" w:leader="dot" w:pos="9170"/>
        </w:tabs>
        <w:spacing w:line="436" w:lineRule="exact"/>
        <w:ind w:firstLine="480"/>
        <w:rPr>
          <w:noProof/>
          <w:szCs w:val="24"/>
          <w:lang w:val="en-US" w:eastAsia="en-US"/>
        </w:rPr>
      </w:pPr>
      <w:hyperlink w:anchor="_Toc392513028" w:history="1">
        <w:r>
          <w:rPr>
            <w:rStyle w:val="Hyperlink"/>
            <w:noProof/>
            <w:sz w:val="24"/>
            <w:szCs w:val="24"/>
            <w:lang w:val="en-US" w:eastAsia="en-US"/>
          </w:rPr>
          <w:t>4.1.</w:t>
        </w:r>
        <w:r>
          <w:rPr>
            <w:noProof/>
            <w:szCs w:val="24"/>
            <w:lang w:val="en-US" w:eastAsia="en-US"/>
          </w:rPr>
          <w:tab/>
        </w:r>
        <w:r>
          <w:rPr>
            <w:rStyle w:val="Hyperlink"/>
            <w:rFonts w:hint="eastAsia"/>
            <w:noProof/>
            <w:sz w:val="24"/>
            <w:szCs w:val="24"/>
            <w:lang w:val="en-US" w:eastAsia="en-US"/>
          </w:rPr>
          <w:t>美国能源部</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_Toc392513028 \h </w:instrText>
        </w:r>
        <w:r w:rsidRPr="00E83B08">
          <w:rPr>
            <w:noProof/>
            <w:szCs w:val="24"/>
            <w:lang w:val="en-US" w:eastAsia="en-US"/>
          </w:rPr>
        </w:r>
        <w:r>
          <w:rPr>
            <w:noProof/>
            <w:szCs w:val="24"/>
            <w:lang w:val="en-US" w:eastAsia="en-US"/>
          </w:rPr>
          <w:fldChar w:fldCharType="separate"/>
        </w:r>
        <w:r w:rsidR="00B77118">
          <w:rPr>
            <w:noProof/>
            <w:szCs w:val="24"/>
            <w:lang w:val="en-US" w:eastAsia="en-US"/>
          </w:rPr>
          <w:t>12</w:t>
        </w:r>
        <w:r>
          <w:rPr>
            <w:noProof/>
            <w:szCs w:val="24"/>
            <w:lang w:val="en-US" w:eastAsia="en-US"/>
          </w:rPr>
          <w:fldChar w:fldCharType="end"/>
        </w:r>
      </w:hyperlink>
    </w:p>
    <w:p w:rsidR="00FF6CCE" w:rsidRDefault="00FF6CCE" w:rsidP="00FF6CCE">
      <w:pPr>
        <w:pStyle w:val="TOC2"/>
        <w:tabs>
          <w:tab w:val="left" w:pos="1680"/>
          <w:tab w:val="right" w:leader="dot" w:pos="9170"/>
        </w:tabs>
        <w:spacing w:line="436" w:lineRule="exact"/>
        <w:ind w:firstLine="480"/>
        <w:rPr>
          <w:noProof/>
          <w:szCs w:val="24"/>
          <w:lang w:val="en-US" w:eastAsia="en-US"/>
        </w:rPr>
      </w:pPr>
      <w:hyperlink w:anchor="_Toc392513029" w:history="1">
        <w:r>
          <w:rPr>
            <w:rStyle w:val="Hyperlink"/>
            <w:noProof/>
            <w:sz w:val="24"/>
            <w:szCs w:val="24"/>
            <w:lang w:val="en-US" w:eastAsia="en-US"/>
          </w:rPr>
          <w:t>4.2.</w:t>
        </w:r>
        <w:r>
          <w:rPr>
            <w:noProof/>
            <w:szCs w:val="24"/>
            <w:lang w:val="en-US" w:eastAsia="en-US"/>
          </w:rPr>
          <w:tab/>
        </w:r>
        <w:r>
          <w:rPr>
            <w:rStyle w:val="Hyperlink"/>
            <w:rFonts w:hint="eastAsia"/>
            <w:noProof/>
            <w:sz w:val="24"/>
            <w:szCs w:val="24"/>
            <w:lang w:val="en-US" w:eastAsia="en-US"/>
          </w:rPr>
          <w:t>国家实验室</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_Toc392513029 \h </w:instrText>
        </w:r>
        <w:r w:rsidRPr="00E83B08">
          <w:rPr>
            <w:noProof/>
            <w:szCs w:val="24"/>
            <w:lang w:val="en-US" w:eastAsia="en-US"/>
          </w:rPr>
        </w:r>
        <w:r>
          <w:rPr>
            <w:noProof/>
            <w:szCs w:val="24"/>
            <w:lang w:val="en-US" w:eastAsia="en-US"/>
          </w:rPr>
          <w:fldChar w:fldCharType="separate"/>
        </w:r>
        <w:r w:rsidR="00B77118">
          <w:rPr>
            <w:noProof/>
            <w:szCs w:val="24"/>
            <w:lang w:val="en-US" w:eastAsia="en-US"/>
          </w:rPr>
          <w:t>15</w:t>
        </w:r>
        <w:r>
          <w:rPr>
            <w:noProof/>
            <w:szCs w:val="24"/>
            <w:lang w:val="en-US" w:eastAsia="en-US"/>
          </w:rPr>
          <w:fldChar w:fldCharType="end"/>
        </w:r>
      </w:hyperlink>
    </w:p>
    <w:p w:rsidR="00FF6CCE" w:rsidRDefault="00FF6CCE" w:rsidP="00FF6CCE">
      <w:pPr>
        <w:pStyle w:val="TOC3"/>
        <w:tabs>
          <w:tab w:val="left" w:pos="2070"/>
          <w:tab w:val="right" w:leader="dot" w:pos="9170"/>
        </w:tabs>
        <w:spacing w:line="436" w:lineRule="exact"/>
        <w:ind w:firstLine="480"/>
        <w:rPr>
          <w:noProof/>
          <w:szCs w:val="24"/>
          <w:lang w:val="en-US" w:eastAsia="en-US"/>
        </w:rPr>
      </w:pPr>
      <w:hyperlink w:anchor="_Toc392513030" w:history="1">
        <w:r>
          <w:rPr>
            <w:rStyle w:val="Hyperlink"/>
            <w:noProof/>
            <w:sz w:val="24"/>
            <w:szCs w:val="24"/>
            <w:lang w:val="en-US" w:eastAsia="en-US"/>
          </w:rPr>
          <w:t>4.2.1.</w:t>
        </w:r>
        <w:r>
          <w:rPr>
            <w:noProof/>
            <w:szCs w:val="24"/>
            <w:lang w:val="en-US" w:eastAsia="en-US"/>
          </w:rPr>
          <w:tab/>
        </w:r>
        <w:r>
          <w:rPr>
            <w:rStyle w:val="Hyperlink"/>
            <w:rFonts w:hint="eastAsia"/>
            <w:noProof/>
            <w:sz w:val="24"/>
            <w:szCs w:val="24"/>
            <w:lang w:val="en-US" w:eastAsia="en-US"/>
          </w:rPr>
          <w:t>国家可再生能源实验室</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_Toc392513030 \h </w:instrText>
        </w:r>
        <w:r w:rsidRPr="00E83B08">
          <w:rPr>
            <w:noProof/>
            <w:szCs w:val="24"/>
            <w:lang w:val="en-US" w:eastAsia="en-US"/>
          </w:rPr>
        </w:r>
        <w:r>
          <w:rPr>
            <w:noProof/>
            <w:szCs w:val="24"/>
            <w:lang w:val="en-US" w:eastAsia="en-US"/>
          </w:rPr>
          <w:fldChar w:fldCharType="separate"/>
        </w:r>
        <w:r w:rsidR="00B77118">
          <w:rPr>
            <w:noProof/>
            <w:szCs w:val="24"/>
            <w:lang w:val="en-US" w:eastAsia="en-US"/>
          </w:rPr>
          <w:t>15</w:t>
        </w:r>
        <w:r>
          <w:rPr>
            <w:noProof/>
            <w:szCs w:val="24"/>
            <w:lang w:val="en-US" w:eastAsia="en-US"/>
          </w:rPr>
          <w:fldChar w:fldCharType="end"/>
        </w:r>
      </w:hyperlink>
    </w:p>
    <w:p w:rsidR="00FF6CCE" w:rsidRDefault="00FF6CCE" w:rsidP="00FF6CCE">
      <w:pPr>
        <w:pStyle w:val="TOC2"/>
        <w:tabs>
          <w:tab w:val="left" w:pos="1680"/>
          <w:tab w:val="right" w:leader="dot" w:pos="9170"/>
        </w:tabs>
        <w:spacing w:line="436" w:lineRule="exact"/>
        <w:ind w:firstLine="480"/>
        <w:rPr>
          <w:noProof/>
          <w:szCs w:val="24"/>
          <w:lang w:val="en-US" w:eastAsia="en-US"/>
        </w:rPr>
      </w:pPr>
      <w:hyperlink w:anchor="_Toc392513031" w:history="1">
        <w:r>
          <w:rPr>
            <w:rStyle w:val="Hyperlink"/>
            <w:noProof/>
            <w:sz w:val="24"/>
            <w:szCs w:val="24"/>
            <w:lang w:val="en-US" w:eastAsia="en-US"/>
          </w:rPr>
          <w:t>4.3.</w:t>
        </w:r>
        <w:r>
          <w:rPr>
            <w:noProof/>
            <w:szCs w:val="24"/>
            <w:lang w:val="en-US" w:eastAsia="en-US"/>
          </w:rPr>
          <w:tab/>
        </w:r>
        <w:r>
          <w:rPr>
            <w:rStyle w:val="Hyperlink"/>
            <w:rFonts w:hint="eastAsia"/>
            <w:noProof/>
            <w:sz w:val="24"/>
            <w:szCs w:val="24"/>
            <w:lang w:val="en-US" w:eastAsia="en-US"/>
          </w:rPr>
          <w:t>美国能源部的新计划</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_Toc392513031 \h </w:instrText>
        </w:r>
        <w:r w:rsidRPr="00E83B08">
          <w:rPr>
            <w:noProof/>
            <w:szCs w:val="24"/>
            <w:lang w:val="en-US" w:eastAsia="en-US"/>
          </w:rPr>
        </w:r>
        <w:r>
          <w:rPr>
            <w:noProof/>
            <w:szCs w:val="24"/>
            <w:lang w:val="en-US" w:eastAsia="en-US"/>
          </w:rPr>
          <w:fldChar w:fldCharType="separate"/>
        </w:r>
        <w:r w:rsidR="00B77118">
          <w:rPr>
            <w:noProof/>
            <w:szCs w:val="24"/>
            <w:lang w:val="en-US" w:eastAsia="en-US"/>
          </w:rPr>
          <w:t>16</w:t>
        </w:r>
        <w:r>
          <w:rPr>
            <w:noProof/>
            <w:szCs w:val="24"/>
            <w:lang w:val="en-US" w:eastAsia="en-US"/>
          </w:rPr>
          <w:fldChar w:fldCharType="end"/>
        </w:r>
      </w:hyperlink>
    </w:p>
    <w:p w:rsidR="00FF6CCE" w:rsidRDefault="00FF6CCE" w:rsidP="00FF6CCE">
      <w:pPr>
        <w:pStyle w:val="TOC3"/>
        <w:tabs>
          <w:tab w:val="left" w:pos="2070"/>
          <w:tab w:val="right" w:leader="dot" w:pos="9170"/>
        </w:tabs>
        <w:spacing w:line="436" w:lineRule="exact"/>
        <w:ind w:firstLine="480"/>
        <w:rPr>
          <w:noProof/>
          <w:szCs w:val="24"/>
          <w:lang w:val="en-US" w:eastAsia="en-US"/>
        </w:rPr>
      </w:pPr>
      <w:hyperlink w:anchor="_Toc392513032" w:history="1">
        <w:r>
          <w:rPr>
            <w:rStyle w:val="Hyperlink"/>
            <w:noProof/>
            <w:sz w:val="24"/>
            <w:szCs w:val="24"/>
            <w:lang w:val="en-US" w:eastAsia="en-US"/>
          </w:rPr>
          <w:t>4.3.1.</w:t>
        </w:r>
        <w:r>
          <w:rPr>
            <w:noProof/>
            <w:szCs w:val="24"/>
            <w:lang w:val="en-US" w:eastAsia="en-US"/>
          </w:rPr>
          <w:tab/>
        </w:r>
        <w:r>
          <w:rPr>
            <w:rStyle w:val="Hyperlink"/>
            <w:noProof/>
            <w:sz w:val="24"/>
            <w:szCs w:val="24"/>
            <w:lang w:val="en-US" w:eastAsia="en-US"/>
          </w:rPr>
          <w:t>ARPA-E.</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_Toc392513032 \h </w:instrText>
        </w:r>
        <w:r w:rsidRPr="00E83B08">
          <w:rPr>
            <w:noProof/>
            <w:szCs w:val="24"/>
            <w:lang w:val="en-US" w:eastAsia="en-US"/>
          </w:rPr>
        </w:r>
        <w:r>
          <w:rPr>
            <w:noProof/>
            <w:szCs w:val="24"/>
            <w:lang w:val="en-US" w:eastAsia="en-US"/>
          </w:rPr>
          <w:fldChar w:fldCharType="separate"/>
        </w:r>
        <w:r w:rsidR="00B77118">
          <w:rPr>
            <w:noProof/>
            <w:szCs w:val="24"/>
            <w:lang w:val="en-US" w:eastAsia="en-US"/>
          </w:rPr>
          <w:t>16</w:t>
        </w:r>
        <w:r>
          <w:rPr>
            <w:noProof/>
            <w:szCs w:val="24"/>
            <w:lang w:val="en-US" w:eastAsia="en-US"/>
          </w:rPr>
          <w:fldChar w:fldCharType="end"/>
        </w:r>
      </w:hyperlink>
    </w:p>
    <w:p w:rsidR="00FF6CCE" w:rsidRDefault="00FF6CCE" w:rsidP="00FF6CCE">
      <w:pPr>
        <w:pStyle w:val="TOC3"/>
        <w:tabs>
          <w:tab w:val="left" w:pos="2070"/>
          <w:tab w:val="right" w:leader="dot" w:pos="9170"/>
        </w:tabs>
        <w:spacing w:line="436" w:lineRule="exact"/>
        <w:ind w:firstLine="480"/>
        <w:rPr>
          <w:noProof/>
          <w:szCs w:val="24"/>
          <w:lang w:val="en-US" w:eastAsia="en-US"/>
        </w:rPr>
      </w:pPr>
      <w:hyperlink w:anchor="_Toc392513033" w:history="1">
        <w:r>
          <w:rPr>
            <w:rStyle w:val="Hyperlink"/>
            <w:noProof/>
            <w:sz w:val="24"/>
            <w:szCs w:val="24"/>
            <w:lang w:val="en-US" w:eastAsia="en-US"/>
          </w:rPr>
          <w:t>4.3.2.</w:t>
        </w:r>
        <w:r>
          <w:rPr>
            <w:noProof/>
            <w:szCs w:val="24"/>
            <w:lang w:val="en-US" w:eastAsia="en-US"/>
          </w:rPr>
          <w:tab/>
        </w:r>
        <w:r>
          <w:rPr>
            <w:rStyle w:val="Hyperlink"/>
            <w:rFonts w:hint="eastAsia"/>
            <w:noProof/>
            <w:sz w:val="24"/>
            <w:szCs w:val="24"/>
            <w:lang w:val="en-US" w:eastAsia="en-US"/>
          </w:rPr>
          <w:t>美国能源部贷款担保计划</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_Toc392513033 \h </w:instrText>
        </w:r>
        <w:r w:rsidRPr="00E83B08">
          <w:rPr>
            <w:noProof/>
            <w:szCs w:val="24"/>
            <w:lang w:val="en-US" w:eastAsia="en-US"/>
          </w:rPr>
        </w:r>
        <w:r>
          <w:rPr>
            <w:noProof/>
            <w:szCs w:val="24"/>
            <w:lang w:val="en-US" w:eastAsia="en-US"/>
          </w:rPr>
          <w:fldChar w:fldCharType="separate"/>
        </w:r>
        <w:r w:rsidR="00B77118">
          <w:rPr>
            <w:noProof/>
            <w:szCs w:val="24"/>
            <w:lang w:val="en-US" w:eastAsia="en-US"/>
          </w:rPr>
          <w:t>18</w:t>
        </w:r>
        <w:r>
          <w:rPr>
            <w:noProof/>
            <w:szCs w:val="24"/>
            <w:lang w:val="en-US" w:eastAsia="en-US"/>
          </w:rPr>
          <w:fldChar w:fldCharType="end"/>
        </w:r>
      </w:hyperlink>
    </w:p>
    <w:p w:rsidR="00FF6CCE" w:rsidRDefault="00FF6CCE" w:rsidP="00FF6CCE">
      <w:pPr>
        <w:pStyle w:val="TOC3"/>
        <w:tabs>
          <w:tab w:val="left" w:pos="2070"/>
          <w:tab w:val="right" w:leader="dot" w:pos="9170"/>
        </w:tabs>
        <w:spacing w:line="436" w:lineRule="exact"/>
        <w:ind w:firstLine="480"/>
        <w:rPr>
          <w:noProof/>
          <w:szCs w:val="24"/>
          <w:lang w:val="en-US" w:eastAsia="en-US"/>
        </w:rPr>
      </w:pPr>
      <w:hyperlink w:anchor="_Toc392513034" w:history="1">
        <w:r>
          <w:rPr>
            <w:rStyle w:val="Hyperlink"/>
            <w:noProof/>
            <w:sz w:val="24"/>
            <w:szCs w:val="24"/>
            <w:lang w:val="en-US" w:eastAsia="en-US"/>
          </w:rPr>
          <w:t>4.3.3.</w:t>
        </w:r>
        <w:r>
          <w:rPr>
            <w:noProof/>
            <w:szCs w:val="24"/>
            <w:lang w:val="en-US" w:eastAsia="en-US"/>
          </w:rPr>
          <w:tab/>
        </w:r>
        <w:r>
          <w:rPr>
            <w:rStyle w:val="Hyperlink"/>
            <w:rFonts w:hint="eastAsia"/>
            <w:noProof/>
            <w:sz w:val="24"/>
            <w:szCs w:val="24"/>
            <w:lang w:val="en-US" w:eastAsia="en-US"/>
          </w:rPr>
          <w:t>能源创新中心</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_Toc392513034 \h </w:instrText>
        </w:r>
        <w:r w:rsidRPr="00E83B08">
          <w:rPr>
            <w:noProof/>
            <w:szCs w:val="24"/>
            <w:lang w:val="en-US" w:eastAsia="en-US"/>
          </w:rPr>
        </w:r>
        <w:r>
          <w:rPr>
            <w:noProof/>
            <w:szCs w:val="24"/>
            <w:lang w:val="en-US" w:eastAsia="en-US"/>
          </w:rPr>
          <w:fldChar w:fldCharType="separate"/>
        </w:r>
        <w:r w:rsidR="00B77118">
          <w:rPr>
            <w:noProof/>
            <w:szCs w:val="24"/>
            <w:lang w:val="en-US" w:eastAsia="en-US"/>
          </w:rPr>
          <w:t>19</w:t>
        </w:r>
        <w:r>
          <w:rPr>
            <w:noProof/>
            <w:szCs w:val="24"/>
            <w:lang w:val="en-US" w:eastAsia="en-US"/>
          </w:rPr>
          <w:fldChar w:fldCharType="end"/>
        </w:r>
      </w:hyperlink>
    </w:p>
    <w:p w:rsidR="00FF6CCE" w:rsidRDefault="00FF6CCE" w:rsidP="00FF6CCE">
      <w:pPr>
        <w:pStyle w:val="TOC3"/>
        <w:tabs>
          <w:tab w:val="left" w:pos="2070"/>
          <w:tab w:val="right" w:leader="dot" w:pos="9170"/>
        </w:tabs>
        <w:spacing w:line="436" w:lineRule="exact"/>
        <w:ind w:firstLine="480"/>
        <w:rPr>
          <w:noProof/>
          <w:szCs w:val="24"/>
          <w:lang w:val="en-US" w:eastAsia="en-US"/>
        </w:rPr>
      </w:pPr>
      <w:hyperlink w:anchor="_Toc392513035" w:history="1">
        <w:r>
          <w:rPr>
            <w:rStyle w:val="Hyperlink"/>
            <w:noProof/>
            <w:sz w:val="24"/>
            <w:szCs w:val="24"/>
            <w:lang w:val="en-US" w:eastAsia="en-US"/>
          </w:rPr>
          <w:t>4.3.4.</w:t>
        </w:r>
        <w:r>
          <w:rPr>
            <w:noProof/>
            <w:szCs w:val="24"/>
            <w:lang w:val="en-US" w:eastAsia="en-US"/>
          </w:rPr>
          <w:tab/>
        </w:r>
        <w:r>
          <w:rPr>
            <w:rStyle w:val="Hyperlink"/>
            <w:rFonts w:hint="eastAsia"/>
            <w:noProof/>
            <w:sz w:val="24"/>
            <w:szCs w:val="24"/>
            <w:lang w:val="en-US" w:eastAsia="en-US"/>
          </w:rPr>
          <w:t>能源前沿研究中心</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_Toc392513035 \h </w:instrText>
        </w:r>
        <w:r w:rsidRPr="00E83B08">
          <w:rPr>
            <w:noProof/>
            <w:szCs w:val="24"/>
            <w:lang w:val="en-US" w:eastAsia="en-US"/>
          </w:rPr>
        </w:r>
        <w:r>
          <w:rPr>
            <w:noProof/>
            <w:szCs w:val="24"/>
            <w:lang w:val="en-US" w:eastAsia="en-US"/>
          </w:rPr>
          <w:fldChar w:fldCharType="separate"/>
        </w:r>
        <w:r w:rsidR="00B77118">
          <w:rPr>
            <w:noProof/>
            <w:szCs w:val="24"/>
            <w:lang w:val="en-US" w:eastAsia="en-US"/>
          </w:rPr>
          <w:t>19</w:t>
        </w:r>
        <w:r>
          <w:rPr>
            <w:noProof/>
            <w:szCs w:val="24"/>
            <w:lang w:val="en-US" w:eastAsia="en-US"/>
          </w:rPr>
          <w:fldChar w:fldCharType="end"/>
        </w:r>
      </w:hyperlink>
    </w:p>
    <w:p w:rsidR="00FF6CCE" w:rsidRDefault="00FF6CCE" w:rsidP="00FF6CCE">
      <w:pPr>
        <w:pStyle w:val="TOC3"/>
        <w:tabs>
          <w:tab w:val="left" w:pos="2070"/>
          <w:tab w:val="right" w:leader="dot" w:pos="9170"/>
        </w:tabs>
        <w:spacing w:line="436" w:lineRule="exact"/>
        <w:ind w:firstLine="480"/>
        <w:rPr>
          <w:noProof/>
          <w:szCs w:val="24"/>
          <w:lang w:val="en-US" w:eastAsia="en-US"/>
        </w:rPr>
      </w:pPr>
      <w:hyperlink w:anchor="_Toc392513036" w:history="1">
        <w:r>
          <w:rPr>
            <w:rStyle w:val="Hyperlink"/>
            <w:noProof/>
            <w:sz w:val="24"/>
            <w:szCs w:val="24"/>
            <w:lang w:val="en-US" w:eastAsia="en-US"/>
          </w:rPr>
          <w:t>4.3.5.</w:t>
        </w:r>
        <w:r>
          <w:rPr>
            <w:noProof/>
            <w:szCs w:val="24"/>
            <w:lang w:val="en-US" w:eastAsia="en-US"/>
          </w:rPr>
          <w:tab/>
        </w:r>
        <w:r>
          <w:rPr>
            <w:rStyle w:val="Hyperlink"/>
            <w:rFonts w:hint="eastAsia"/>
            <w:noProof/>
            <w:sz w:val="24"/>
            <w:szCs w:val="24"/>
            <w:lang w:val="en-US" w:eastAsia="en-US"/>
          </w:rPr>
          <w:t>“射日”计划</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_Toc392513036 \h </w:instrText>
        </w:r>
        <w:r w:rsidRPr="00E83B08">
          <w:rPr>
            <w:noProof/>
            <w:szCs w:val="24"/>
            <w:lang w:val="en-US" w:eastAsia="en-US"/>
          </w:rPr>
        </w:r>
        <w:r>
          <w:rPr>
            <w:noProof/>
            <w:szCs w:val="24"/>
            <w:lang w:val="en-US" w:eastAsia="en-US"/>
          </w:rPr>
          <w:fldChar w:fldCharType="separate"/>
        </w:r>
        <w:r w:rsidR="00B77118">
          <w:rPr>
            <w:noProof/>
            <w:szCs w:val="24"/>
            <w:lang w:val="en-US" w:eastAsia="en-US"/>
          </w:rPr>
          <w:t>20</w:t>
        </w:r>
        <w:r>
          <w:rPr>
            <w:noProof/>
            <w:szCs w:val="24"/>
            <w:lang w:val="en-US" w:eastAsia="en-US"/>
          </w:rPr>
          <w:fldChar w:fldCharType="end"/>
        </w:r>
      </w:hyperlink>
    </w:p>
    <w:p w:rsidR="00FF6CCE" w:rsidRDefault="00FF6CCE" w:rsidP="00FF6CCE">
      <w:pPr>
        <w:pStyle w:val="TOC3"/>
        <w:tabs>
          <w:tab w:val="left" w:pos="2070"/>
          <w:tab w:val="right" w:leader="dot" w:pos="9170"/>
        </w:tabs>
        <w:spacing w:line="436" w:lineRule="exact"/>
        <w:ind w:firstLine="480"/>
        <w:rPr>
          <w:noProof/>
          <w:szCs w:val="24"/>
          <w:lang w:val="en-US" w:eastAsia="en-US"/>
        </w:rPr>
      </w:pPr>
      <w:hyperlink w:anchor="_Toc392513037" w:history="1">
        <w:r>
          <w:rPr>
            <w:rStyle w:val="Hyperlink"/>
            <w:noProof/>
            <w:sz w:val="24"/>
            <w:szCs w:val="24"/>
            <w:lang w:val="en-US" w:eastAsia="en-US"/>
          </w:rPr>
          <w:t>4.3.6.</w:t>
        </w:r>
        <w:r>
          <w:rPr>
            <w:noProof/>
            <w:szCs w:val="24"/>
            <w:lang w:val="en-US" w:eastAsia="en-US"/>
          </w:rPr>
          <w:tab/>
        </w:r>
        <w:r>
          <w:rPr>
            <w:rStyle w:val="Hyperlink"/>
            <w:rFonts w:hint="eastAsia"/>
            <w:noProof/>
            <w:sz w:val="24"/>
            <w:szCs w:val="24"/>
            <w:lang w:val="en-US" w:eastAsia="en-US"/>
          </w:rPr>
          <w:t>美国下一代顶尖能源创新者计划</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_Toc392513037 \h </w:instrText>
        </w:r>
        <w:r w:rsidRPr="00E83B08">
          <w:rPr>
            <w:noProof/>
            <w:szCs w:val="24"/>
            <w:lang w:val="en-US" w:eastAsia="en-US"/>
          </w:rPr>
        </w:r>
        <w:r>
          <w:rPr>
            <w:noProof/>
            <w:szCs w:val="24"/>
            <w:lang w:val="en-US" w:eastAsia="en-US"/>
          </w:rPr>
          <w:fldChar w:fldCharType="separate"/>
        </w:r>
        <w:r w:rsidR="00B77118">
          <w:rPr>
            <w:noProof/>
            <w:szCs w:val="24"/>
            <w:lang w:val="en-US" w:eastAsia="en-US"/>
          </w:rPr>
          <w:t>21</w:t>
        </w:r>
        <w:r>
          <w:rPr>
            <w:noProof/>
            <w:szCs w:val="24"/>
            <w:lang w:val="en-US" w:eastAsia="en-US"/>
          </w:rPr>
          <w:fldChar w:fldCharType="end"/>
        </w:r>
      </w:hyperlink>
    </w:p>
    <w:p w:rsidR="00FF6CCE" w:rsidRDefault="00FF6CCE" w:rsidP="00FF6CCE">
      <w:pPr>
        <w:pStyle w:val="TOC1"/>
        <w:tabs>
          <w:tab w:val="left" w:pos="1050"/>
          <w:tab w:val="right" w:leader="dot" w:pos="9170"/>
        </w:tabs>
        <w:spacing w:line="436" w:lineRule="exact"/>
        <w:ind w:firstLine="480"/>
        <w:rPr>
          <w:noProof/>
          <w:szCs w:val="24"/>
          <w:lang w:val="en-US" w:eastAsia="en-US"/>
        </w:rPr>
      </w:pPr>
      <w:hyperlink w:anchor="_Toc392513038" w:history="1">
        <w:r>
          <w:rPr>
            <w:rStyle w:val="Hyperlink"/>
            <w:noProof/>
            <w:sz w:val="24"/>
            <w:szCs w:val="24"/>
            <w:lang w:val="en-US" w:eastAsia="en-US"/>
          </w:rPr>
          <w:t>5.</w:t>
        </w:r>
        <w:r>
          <w:rPr>
            <w:noProof/>
            <w:szCs w:val="24"/>
            <w:lang w:val="en-US" w:eastAsia="en-US"/>
          </w:rPr>
          <w:tab/>
        </w:r>
        <w:r>
          <w:rPr>
            <w:rStyle w:val="Hyperlink"/>
            <w:rFonts w:hint="eastAsia"/>
            <w:noProof/>
            <w:sz w:val="24"/>
            <w:szCs w:val="24"/>
            <w:lang w:val="en-US" w:eastAsia="en-US"/>
          </w:rPr>
          <w:t>美国得到扶持的清洁能有创新成果</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_Toc392513038 \h </w:instrText>
        </w:r>
        <w:r w:rsidRPr="00E83B08">
          <w:rPr>
            <w:noProof/>
            <w:szCs w:val="24"/>
            <w:lang w:val="en-US" w:eastAsia="en-US"/>
          </w:rPr>
        </w:r>
        <w:r>
          <w:rPr>
            <w:noProof/>
            <w:szCs w:val="24"/>
            <w:lang w:val="en-US" w:eastAsia="en-US"/>
          </w:rPr>
          <w:fldChar w:fldCharType="separate"/>
        </w:r>
        <w:r w:rsidR="00B77118">
          <w:rPr>
            <w:noProof/>
            <w:szCs w:val="24"/>
            <w:lang w:val="en-US" w:eastAsia="en-US"/>
          </w:rPr>
          <w:t>21</w:t>
        </w:r>
        <w:r>
          <w:rPr>
            <w:noProof/>
            <w:szCs w:val="24"/>
            <w:lang w:val="en-US" w:eastAsia="en-US"/>
          </w:rPr>
          <w:fldChar w:fldCharType="end"/>
        </w:r>
      </w:hyperlink>
    </w:p>
    <w:p w:rsidR="00FF6CCE" w:rsidRDefault="00FF6CCE" w:rsidP="00FF6CCE">
      <w:pPr>
        <w:pStyle w:val="TOC2"/>
        <w:tabs>
          <w:tab w:val="left" w:pos="1680"/>
          <w:tab w:val="right" w:leader="dot" w:pos="9170"/>
        </w:tabs>
        <w:spacing w:line="436" w:lineRule="exact"/>
        <w:ind w:firstLine="480"/>
        <w:rPr>
          <w:noProof/>
          <w:szCs w:val="24"/>
          <w:lang w:val="en-US" w:eastAsia="en-US"/>
        </w:rPr>
      </w:pPr>
      <w:hyperlink w:anchor="_Toc392513039" w:history="1">
        <w:r>
          <w:rPr>
            <w:rStyle w:val="Hyperlink"/>
            <w:noProof/>
            <w:sz w:val="24"/>
            <w:szCs w:val="24"/>
            <w:lang w:val="en-US" w:eastAsia="en-US"/>
          </w:rPr>
          <w:t>5.1.</w:t>
        </w:r>
        <w:r>
          <w:rPr>
            <w:noProof/>
            <w:szCs w:val="24"/>
            <w:lang w:val="en-US" w:eastAsia="en-US"/>
          </w:rPr>
          <w:tab/>
        </w:r>
        <w:r>
          <w:rPr>
            <w:rStyle w:val="Hyperlink"/>
            <w:noProof/>
            <w:sz w:val="24"/>
            <w:szCs w:val="24"/>
            <w:lang w:val="en-US" w:eastAsia="en-US"/>
          </w:rPr>
          <w:t xml:space="preserve">Solyndra </w:t>
        </w:r>
        <w:r>
          <w:rPr>
            <w:rStyle w:val="Hyperlink"/>
            <w:rFonts w:hint="eastAsia"/>
            <w:noProof/>
            <w:sz w:val="24"/>
            <w:szCs w:val="24"/>
            <w:lang w:val="en-US" w:eastAsia="en-US"/>
          </w:rPr>
          <w:t>公司和</w:t>
        </w:r>
        <w:r>
          <w:rPr>
            <w:rStyle w:val="Hyperlink"/>
            <w:noProof/>
            <w:sz w:val="24"/>
            <w:szCs w:val="24"/>
            <w:lang w:val="en-US" w:eastAsia="en-US"/>
          </w:rPr>
          <w:t xml:space="preserve"> 1705 </w:t>
        </w:r>
        <w:r>
          <w:rPr>
            <w:rStyle w:val="Hyperlink"/>
            <w:rFonts w:hint="eastAsia"/>
            <w:noProof/>
            <w:sz w:val="24"/>
            <w:szCs w:val="24"/>
            <w:lang w:val="en-US" w:eastAsia="en-US"/>
          </w:rPr>
          <w:t>贷款担保计划</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_Toc392513039 \h </w:instrText>
        </w:r>
        <w:r w:rsidRPr="00E83B08">
          <w:rPr>
            <w:noProof/>
            <w:szCs w:val="24"/>
            <w:lang w:val="en-US" w:eastAsia="en-US"/>
          </w:rPr>
        </w:r>
        <w:r>
          <w:rPr>
            <w:noProof/>
            <w:szCs w:val="24"/>
            <w:lang w:val="en-US" w:eastAsia="en-US"/>
          </w:rPr>
          <w:fldChar w:fldCharType="separate"/>
        </w:r>
        <w:r w:rsidR="00B77118">
          <w:rPr>
            <w:noProof/>
            <w:szCs w:val="24"/>
            <w:lang w:val="en-US" w:eastAsia="en-US"/>
          </w:rPr>
          <w:t>22</w:t>
        </w:r>
        <w:r>
          <w:rPr>
            <w:noProof/>
            <w:szCs w:val="24"/>
            <w:lang w:val="en-US" w:eastAsia="en-US"/>
          </w:rPr>
          <w:fldChar w:fldCharType="end"/>
        </w:r>
      </w:hyperlink>
    </w:p>
    <w:p w:rsidR="00FF6CCE" w:rsidRDefault="00FF6CCE" w:rsidP="00FF6CCE">
      <w:pPr>
        <w:pStyle w:val="TOC2"/>
        <w:tabs>
          <w:tab w:val="left" w:pos="1680"/>
          <w:tab w:val="right" w:leader="dot" w:pos="9170"/>
        </w:tabs>
        <w:spacing w:line="436" w:lineRule="exact"/>
        <w:ind w:firstLine="480"/>
        <w:rPr>
          <w:noProof/>
          <w:szCs w:val="24"/>
          <w:lang w:val="en-US" w:eastAsia="en-US"/>
        </w:rPr>
      </w:pPr>
      <w:hyperlink w:anchor="_Toc392513040" w:history="1">
        <w:r>
          <w:rPr>
            <w:rStyle w:val="Hyperlink"/>
            <w:noProof/>
            <w:sz w:val="24"/>
            <w:szCs w:val="24"/>
            <w:lang w:val="en-US" w:eastAsia="en-US"/>
          </w:rPr>
          <w:t>5.2.</w:t>
        </w:r>
        <w:r>
          <w:rPr>
            <w:noProof/>
            <w:szCs w:val="24"/>
            <w:lang w:val="en-US" w:eastAsia="en-US"/>
          </w:rPr>
          <w:tab/>
        </w:r>
        <w:r>
          <w:rPr>
            <w:rStyle w:val="Hyperlink"/>
            <w:noProof/>
            <w:sz w:val="24"/>
            <w:szCs w:val="24"/>
            <w:lang w:val="en-US" w:eastAsia="en-US"/>
          </w:rPr>
          <w:t>1366</w:t>
        </w:r>
        <w:r>
          <w:rPr>
            <w:rStyle w:val="Hyperlink"/>
            <w:rFonts w:hint="eastAsia"/>
            <w:noProof/>
            <w:sz w:val="24"/>
            <w:szCs w:val="24"/>
            <w:lang w:val="en-US" w:eastAsia="en-US"/>
          </w:rPr>
          <w:t>技术计划：将</w:t>
        </w:r>
        <w:r>
          <w:rPr>
            <w:rStyle w:val="Hyperlink"/>
            <w:noProof/>
            <w:sz w:val="24"/>
            <w:szCs w:val="24"/>
            <w:lang w:val="en-US" w:eastAsia="en-US"/>
          </w:rPr>
          <w:t>ARPA-E</w:t>
        </w:r>
        <w:r>
          <w:rPr>
            <w:rStyle w:val="Hyperlink"/>
            <w:rFonts w:hint="eastAsia"/>
            <w:noProof/>
            <w:sz w:val="24"/>
            <w:szCs w:val="24"/>
            <w:lang w:val="en-US" w:eastAsia="en-US"/>
          </w:rPr>
          <w:t>计划、贷款担保计划和射日计划与大学研发相结合</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_Toc392513040 \h </w:instrText>
        </w:r>
        <w:r w:rsidRPr="00E83B08">
          <w:rPr>
            <w:noProof/>
            <w:szCs w:val="24"/>
            <w:lang w:val="en-US" w:eastAsia="en-US"/>
          </w:rPr>
        </w:r>
        <w:r>
          <w:rPr>
            <w:noProof/>
            <w:szCs w:val="24"/>
            <w:lang w:val="en-US" w:eastAsia="en-US"/>
          </w:rPr>
          <w:fldChar w:fldCharType="separate"/>
        </w:r>
        <w:r w:rsidR="00B77118">
          <w:rPr>
            <w:noProof/>
            <w:szCs w:val="24"/>
            <w:lang w:val="en-US" w:eastAsia="en-US"/>
          </w:rPr>
          <w:t>22</w:t>
        </w:r>
        <w:r>
          <w:rPr>
            <w:noProof/>
            <w:szCs w:val="24"/>
            <w:lang w:val="en-US" w:eastAsia="en-US"/>
          </w:rPr>
          <w:fldChar w:fldCharType="end"/>
        </w:r>
      </w:hyperlink>
    </w:p>
    <w:p w:rsidR="00FF6CCE" w:rsidRDefault="00FF6CCE" w:rsidP="00FF6CCE">
      <w:pPr>
        <w:pStyle w:val="TOC1"/>
        <w:tabs>
          <w:tab w:val="left" w:pos="1050"/>
          <w:tab w:val="right" w:leader="dot" w:pos="9170"/>
        </w:tabs>
        <w:spacing w:line="436" w:lineRule="exact"/>
        <w:ind w:firstLine="480"/>
        <w:rPr>
          <w:noProof/>
          <w:szCs w:val="24"/>
          <w:lang w:val="en-US" w:eastAsia="en-US"/>
        </w:rPr>
      </w:pPr>
      <w:hyperlink w:anchor="_Toc392513041" w:history="1">
        <w:r>
          <w:rPr>
            <w:rStyle w:val="Hyperlink"/>
            <w:noProof/>
            <w:sz w:val="24"/>
            <w:szCs w:val="24"/>
            <w:lang w:val="en-US" w:eastAsia="en-US"/>
          </w:rPr>
          <w:t>6.</w:t>
        </w:r>
        <w:r>
          <w:rPr>
            <w:noProof/>
            <w:szCs w:val="24"/>
            <w:lang w:val="en-US" w:eastAsia="en-US"/>
          </w:rPr>
          <w:tab/>
        </w:r>
        <w:r>
          <w:rPr>
            <w:rStyle w:val="Hyperlink"/>
            <w:rFonts w:hint="eastAsia"/>
            <w:noProof/>
            <w:sz w:val="24"/>
            <w:szCs w:val="24"/>
            <w:lang w:val="en-US" w:eastAsia="en-US"/>
          </w:rPr>
          <w:t>评价美国清洁能源的成功与失败</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_Toc392513041 \h </w:instrText>
        </w:r>
        <w:r w:rsidRPr="00E83B08">
          <w:rPr>
            <w:noProof/>
            <w:szCs w:val="24"/>
            <w:lang w:val="en-US" w:eastAsia="en-US"/>
          </w:rPr>
        </w:r>
        <w:r>
          <w:rPr>
            <w:noProof/>
            <w:szCs w:val="24"/>
            <w:lang w:val="en-US" w:eastAsia="en-US"/>
          </w:rPr>
          <w:fldChar w:fldCharType="separate"/>
        </w:r>
        <w:r w:rsidR="00B77118">
          <w:rPr>
            <w:noProof/>
            <w:szCs w:val="24"/>
            <w:lang w:val="en-US" w:eastAsia="en-US"/>
          </w:rPr>
          <w:t>24</w:t>
        </w:r>
        <w:r>
          <w:rPr>
            <w:noProof/>
            <w:szCs w:val="24"/>
            <w:lang w:val="en-US" w:eastAsia="en-US"/>
          </w:rPr>
          <w:fldChar w:fldCharType="end"/>
        </w:r>
      </w:hyperlink>
    </w:p>
    <w:p w:rsidR="00FF6CCE" w:rsidRDefault="00FF6CCE" w:rsidP="00FF6CCE">
      <w:pPr>
        <w:pStyle w:val="TOC2"/>
        <w:tabs>
          <w:tab w:val="left" w:pos="1680"/>
          <w:tab w:val="right" w:leader="dot" w:pos="9170"/>
        </w:tabs>
        <w:spacing w:line="436" w:lineRule="exact"/>
        <w:ind w:firstLine="480"/>
        <w:rPr>
          <w:noProof/>
          <w:szCs w:val="24"/>
          <w:lang w:val="en-US" w:eastAsia="en-US"/>
        </w:rPr>
      </w:pPr>
      <w:hyperlink w:anchor="_Toc392513042" w:history="1">
        <w:r>
          <w:rPr>
            <w:rStyle w:val="Hyperlink"/>
            <w:noProof/>
            <w:sz w:val="24"/>
            <w:szCs w:val="24"/>
            <w:lang w:val="en-US" w:eastAsia="en-US"/>
          </w:rPr>
          <w:t>6.1.</w:t>
        </w:r>
        <w:r>
          <w:rPr>
            <w:noProof/>
            <w:szCs w:val="24"/>
            <w:lang w:val="en-US" w:eastAsia="en-US"/>
          </w:rPr>
          <w:tab/>
        </w:r>
        <w:r>
          <w:rPr>
            <w:rStyle w:val="Hyperlink"/>
            <w:rFonts w:hint="eastAsia"/>
            <w:noProof/>
            <w:sz w:val="24"/>
            <w:szCs w:val="24"/>
            <w:lang w:val="en-US" w:eastAsia="en-US"/>
          </w:rPr>
          <w:t>贷款计划</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_Toc392513042 \h </w:instrText>
        </w:r>
        <w:r w:rsidRPr="00E83B08">
          <w:rPr>
            <w:noProof/>
            <w:szCs w:val="24"/>
            <w:lang w:val="en-US" w:eastAsia="en-US"/>
          </w:rPr>
        </w:r>
        <w:r>
          <w:rPr>
            <w:noProof/>
            <w:szCs w:val="24"/>
            <w:lang w:val="en-US" w:eastAsia="en-US"/>
          </w:rPr>
          <w:fldChar w:fldCharType="separate"/>
        </w:r>
        <w:r w:rsidR="00B77118">
          <w:rPr>
            <w:noProof/>
            <w:szCs w:val="24"/>
            <w:lang w:val="en-US" w:eastAsia="en-US"/>
          </w:rPr>
          <w:t>24</w:t>
        </w:r>
        <w:r>
          <w:rPr>
            <w:noProof/>
            <w:szCs w:val="24"/>
            <w:lang w:val="en-US" w:eastAsia="en-US"/>
          </w:rPr>
          <w:fldChar w:fldCharType="end"/>
        </w:r>
      </w:hyperlink>
    </w:p>
    <w:p w:rsidR="00FF6CCE" w:rsidRDefault="00FF6CCE" w:rsidP="00FF6CCE">
      <w:pPr>
        <w:pStyle w:val="TOC2"/>
        <w:tabs>
          <w:tab w:val="left" w:pos="1680"/>
          <w:tab w:val="right" w:leader="dot" w:pos="9170"/>
        </w:tabs>
        <w:spacing w:line="436" w:lineRule="exact"/>
        <w:ind w:firstLine="480"/>
        <w:rPr>
          <w:noProof/>
          <w:szCs w:val="24"/>
          <w:lang w:val="en-US" w:eastAsia="en-US"/>
        </w:rPr>
      </w:pPr>
      <w:hyperlink w:anchor="_Toc392513043" w:history="1">
        <w:r>
          <w:rPr>
            <w:rStyle w:val="Hyperlink"/>
            <w:noProof/>
            <w:sz w:val="24"/>
            <w:szCs w:val="24"/>
            <w:lang w:val="en-US" w:eastAsia="en-US"/>
          </w:rPr>
          <w:t>6.2.</w:t>
        </w:r>
        <w:r>
          <w:rPr>
            <w:noProof/>
            <w:szCs w:val="24"/>
            <w:lang w:val="en-US" w:eastAsia="en-US"/>
          </w:rPr>
          <w:tab/>
        </w:r>
        <w:r>
          <w:rPr>
            <w:rStyle w:val="Hyperlink"/>
            <w:noProof/>
            <w:sz w:val="24"/>
            <w:szCs w:val="24"/>
            <w:lang w:val="en-US" w:eastAsia="en-US"/>
          </w:rPr>
          <w:t>ARRA</w:t>
        </w:r>
        <w:r>
          <w:rPr>
            <w:rStyle w:val="Hyperlink"/>
            <w:rFonts w:hint="eastAsia"/>
            <w:noProof/>
            <w:sz w:val="24"/>
            <w:szCs w:val="24"/>
            <w:lang w:val="en-US" w:eastAsia="en-US"/>
          </w:rPr>
          <w:t>创新计划</w:t>
        </w:r>
        <w:r>
          <w:rPr>
            <w:rStyle w:val="Hyperlink"/>
            <w:noProof/>
            <w:sz w:val="24"/>
            <w:szCs w:val="24"/>
            <w:lang w:val="en-US" w:eastAsia="en-US"/>
          </w:rPr>
          <w:t>: ARPA-E</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_Toc392513043 \h </w:instrText>
        </w:r>
        <w:r w:rsidRPr="00E83B08">
          <w:rPr>
            <w:noProof/>
            <w:szCs w:val="24"/>
            <w:lang w:val="en-US" w:eastAsia="en-US"/>
          </w:rPr>
        </w:r>
        <w:r>
          <w:rPr>
            <w:noProof/>
            <w:szCs w:val="24"/>
            <w:lang w:val="en-US" w:eastAsia="en-US"/>
          </w:rPr>
          <w:fldChar w:fldCharType="separate"/>
        </w:r>
        <w:r w:rsidR="00B77118">
          <w:rPr>
            <w:noProof/>
            <w:szCs w:val="24"/>
            <w:lang w:val="en-US" w:eastAsia="en-US"/>
          </w:rPr>
          <w:t>25</w:t>
        </w:r>
        <w:r>
          <w:rPr>
            <w:noProof/>
            <w:szCs w:val="24"/>
            <w:lang w:val="en-US" w:eastAsia="en-US"/>
          </w:rPr>
          <w:fldChar w:fldCharType="end"/>
        </w:r>
      </w:hyperlink>
    </w:p>
    <w:p w:rsidR="00FF6CCE" w:rsidRDefault="00FF6CCE" w:rsidP="00FF6CCE">
      <w:pPr>
        <w:pStyle w:val="TOC1"/>
        <w:tabs>
          <w:tab w:val="left" w:pos="1050"/>
          <w:tab w:val="right" w:leader="dot" w:pos="9170"/>
        </w:tabs>
        <w:spacing w:line="436" w:lineRule="exact"/>
        <w:ind w:firstLine="480"/>
        <w:rPr>
          <w:noProof/>
          <w:szCs w:val="24"/>
          <w:lang w:val="en-US" w:eastAsia="en-US"/>
        </w:rPr>
      </w:pPr>
      <w:hyperlink w:anchor="_Toc392513044" w:history="1">
        <w:r>
          <w:rPr>
            <w:rStyle w:val="Hyperlink"/>
            <w:noProof/>
            <w:sz w:val="24"/>
            <w:szCs w:val="24"/>
            <w:lang w:val="en-US" w:eastAsia="en-US"/>
          </w:rPr>
          <w:t>7.</w:t>
        </w:r>
        <w:r>
          <w:rPr>
            <w:noProof/>
            <w:szCs w:val="24"/>
            <w:lang w:val="en-US" w:eastAsia="en-US"/>
          </w:rPr>
          <w:tab/>
        </w:r>
        <w:r>
          <w:rPr>
            <w:rStyle w:val="Hyperlink"/>
            <w:rFonts w:hint="eastAsia"/>
            <w:noProof/>
            <w:sz w:val="24"/>
            <w:szCs w:val="24"/>
            <w:lang w:val="en-US" w:eastAsia="en-US"/>
          </w:rPr>
          <w:t>向中国提出的建议</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_Toc392513044 \h </w:instrText>
        </w:r>
        <w:r w:rsidRPr="00E83B08">
          <w:rPr>
            <w:noProof/>
            <w:szCs w:val="24"/>
            <w:lang w:val="en-US" w:eastAsia="en-US"/>
          </w:rPr>
        </w:r>
        <w:r>
          <w:rPr>
            <w:noProof/>
            <w:szCs w:val="24"/>
            <w:lang w:val="en-US" w:eastAsia="en-US"/>
          </w:rPr>
          <w:fldChar w:fldCharType="separate"/>
        </w:r>
        <w:r w:rsidR="00B77118">
          <w:rPr>
            <w:noProof/>
            <w:szCs w:val="24"/>
            <w:lang w:val="en-US" w:eastAsia="en-US"/>
          </w:rPr>
          <w:t>25</w:t>
        </w:r>
        <w:r>
          <w:rPr>
            <w:noProof/>
            <w:szCs w:val="24"/>
            <w:lang w:val="en-US" w:eastAsia="en-US"/>
          </w:rPr>
          <w:fldChar w:fldCharType="end"/>
        </w:r>
      </w:hyperlink>
    </w:p>
    <w:p w:rsidR="00FF6CCE" w:rsidRDefault="00FF6CCE" w:rsidP="00FF6CCE">
      <w:pPr>
        <w:pStyle w:val="TOC2"/>
        <w:tabs>
          <w:tab w:val="left" w:pos="1680"/>
          <w:tab w:val="right" w:leader="dot" w:pos="9170"/>
        </w:tabs>
        <w:spacing w:line="436" w:lineRule="exact"/>
        <w:ind w:firstLine="480"/>
        <w:rPr>
          <w:noProof/>
          <w:szCs w:val="24"/>
          <w:lang w:val="en-US" w:eastAsia="en-US"/>
        </w:rPr>
      </w:pPr>
      <w:hyperlink w:anchor="_Toc392513045" w:history="1">
        <w:r>
          <w:rPr>
            <w:rStyle w:val="Hyperlink"/>
            <w:noProof/>
            <w:sz w:val="24"/>
            <w:szCs w:val="24"/>
            <w:lang w:val="en-US" w:eastAsia="en-US"/>
          </w:rPr>
          <w:t>7.1.</w:t>
        </w:r>
        <w:r>
          <w:rPr>
            <w:noProof/>
            <w:szCs w:val="24"/>
            <w:lang w:val="en-US" w:eastAsia="en-US"/>
          </w:rPr>
          <w:tab/>
        </w:r>
        <w:r>
          <w:rPr>
            <w:rStyle w:val="Hyperlink"/>
            <w:rFonts w:hint="eastAsia"/>
            <w:noProof/>
            <w:sz w:val="24"/>
            <w:szCs w:val="24"/>
            <w:lang w:val="en-US" w:eastAsia="en-US"/>
          </w:rPr>
          <w:t>美国清洁能源扶持计划的教训</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_Toc392513045 \h </w:instrText>
        </w:r>
        <w:r w:rsidRPr="00E83B08">
          <w:rPr>
            <w:noProof/>
            <w:szCs w:val="24"/>
            <w:lang w:val="en-US" w:eastAsia="en-US"/>
          </w:rPr>
        </w:r>
        <w:r>
          <w:rPr>
            <w:noProof/>
            <w:szCs w:val="24"/>
            <w:lang w:val="en-US" w:eastAsia="en-US"/>
          </w:rPr>
          <w:fldChar w:fldCharType="separate"/>
        </w:r>
        <w:r w:rsidR="00B77118">
          <w:rPr>
            <w:noProof/>
            <w:szCs w:val="24"/>
            <w:lang w:val="en-US" w:eastAsia="en-US"/>
          </w:rPr>
          <w:t>25</w:t>
        </w:r>
        <w:r>
          <w:rPr>
            <w:noProof/>
            <w:szCs w:val="24"/>
            <w:lang w:val="en-US" w:eastAsia="en-US"/>
          </w:rPr>
          <w:fldChar w:fldCharType="end"/>
        </w:r>
      </w:hyperlink>
    </w:p>
    <w:p w:rsidR="00FF6CCE" w:rsidRDefault="00FF6CCE" w:rsidP="00FF6CCE">
      <w:pPr>
        <w:pStyle w:val="TOC2"/>
        <w:tabs>
          <w:tab w:val="left" w:pos="1680"/>
          <w:tab w:val="right" w:leader="dot" w:pos="9170"/>
        </w:tabs>
        <w:spacing w:line="436" w:lineRule="exact"/>
        <w:ind w:firstLine="480"/>
        <w:rPr>
          <w:noProof/>
          <w:szCs w:val="24"/>
          <w:lang w:val="en-US" w:eastAsia="en-US"/>
        </w:rPr>
      </w:pPr>
      <w:hyperlink w:anchor="_Toc392513046" w:history="1">
        <w:r>
          <w:rPr>
            <w:rStyle w:val="Hyperlink"/>
            <w:noProof/>
            <w:sz w:val="24"/>
            <w:szCs w:val="24"/>
            <w:lang w:val="en-US" w:eastAsia="en-US"/>
          </w:rPr>
          <w:t>7.2.</w:t>
        </w:r>
        <w:r>
          <w:rPr>
            <w:noProof/>
            <w:szCs w:val="24"/>
            <w:lang w:val="en-US" w:eastAsia="en-US"/>
          </w:rPr>
          <w:tab/>
        </w:r>
        <w:r>
          <w:rPr>
            <w:rStyle w:val="Hyperlink"/>
            <w:rFonts w:hint="eastAsia"/>
            <w:noProof/>
            <w:sz w:val="24"/>
            <w:szCs w:val="24"/>
            <w:lang w:val="en-US" w:eastAsia="en-US"/>
          </w:rPr>
          <w:t>美国</w:t>
        </w:r>
        <w:r>
          <w:rPr>
            <w:rStyle w:val="Hyperlink"/>
            <w:noProof/>
            <w:sz w:val="24"/>
            <w:szCs w:val="24"/>
            <w:lang w:val="en-US" w:eastAsia="en-US"/>
          </w:rPr>
          <w:t>-</w:t>
        </w:r>
        <w:r>
          <w:rPr>
            <w:rStyle w:val="Hyperlink"/>
            <w:rFonts w:hint="eastAsia"/>
            <w:noProof/>
            <w:sz w:val="24"/>
            <w:szCs w:val="24"/>
            <w:lang w:val="en-US" w:eastAsia="en-US"/>
          </w:rPr>
          <w:t>中国在清洁能源创新方面合作的机会</w:t>
        </w:r>
        <w:r>
          <w:rPr>
            <w:noProof/>
            <w:szCs w:val="24"/>
            <w:lang w:val="en-US" w:eastAsia="en-US"/>
          </w:rPr>
          <w:tab/>
        </w:r>
        <w:r>
          <w:rPr>
            <w:noProof/>
            <w:szCs w:val="24"/>
            <w:lang w:val="en-US" w:eastAsia="en-US"/>
          </w:rPr>
          <w:fldChar w:fldCharType="begin"/>
        </w:r>
        <w:r>
          <w:rPr>
            <w:noProof/>
            <w:szCs w:val="24"/>
            <w:lang w:val="en-US" w:eastAsia="en-US"/>
          </w:rPr>
          <w:instrText xml:space="preserve"> PAGEREF _Toc392513046 \h </w:instrText>
        </w:r>
        <w:r w:rsidRPr="00E83B08">
          <w:rPr>
            <w:noProof/>
            <w:szCs w:val="24"/>
            <w:lang w:val="en-US" w:eastAsia="en-US"/>
          </w:rPr>
        </w:r>
        <w:r>
          <w:rPr>
            <w:noProof/>
            <w:szCs w:val="24"/>
            <w:lang w:val="en-US" w:eastAsia="en-US"/>
          </w:rPr>
          <w:fldChar w:fldCharType="separate"/>
        </w:r>
        <w:r w:rsidR="00B77118">
          <w:rPr>
            <w:noProof/>
            <w:szCs w:val="24"/>
            <w:lang w:val="en-US" w:eastAsia="en-US"/>
          </w:rPr>
          <w:t>26</w:t>
        </w:r>
        <w:r>
          <w:rPr>
            <w:noProof/>
            <w:szCs w:val="24"/>
            <w:lang w:val="en-US" w:eastAsia="en-US"/>
          </w:rPr>
          <w:fldChar w:fldCharType="end"/>
        </w:r>
      </w:hyperlink>
    </w:p>
    <w:p w:rsidR="00FF6CCE" w:rsidRDefault="00FF6CCE" w:rsidP="00FF6CCE">
      <w:pPr>
        <w:spacing w:line="436" w:lineRule="exact"/>
        <w:ind w:firstLine="519"/>
        <w:rPr>
          <w:rFonts w:hint="eastAsia"/>
          <w:b/>
          <w:sz w:val="32"/>
          <w:szCs w:val="32"/>
        </w:rPr>
      </w:pPr>
      <w:r>
        <w:rPr>
          <w:b/>
          <w:szCs w:val="24"/>
        </w:rPr>
        <w:fldChar w:fldCharType="end"/>
      </w:r>
    </w:p>
    <w:p w:rsidR="00FF6CCE" w:rsidRDefault="00FF6CCE" w:rsidP="00FF6CCE">
      <w:pPr>
        <w:pStyle w:val="Heading1"/>
        <w:numPr>
          <w:ilvl w:val="0"/>
          <w:numId w:val="0"/>
        </w:numPr>
        <w:jc w:val="center"/>
        <w:rPr>
          <w:rFonts w:hint="eastAsia"/>
        </w:rPr>
      </w:pPr>
      <w:bookmarkStart w:id="205" w:name="_Toc392495375"/>
      <w:bookmarkStart w:id="206" w:name="_Toc392513017"/>
      <w:r>
        <w:rPr>
          <w:rFonts w:hint="eastAsia"/>
        </w:rPr>
        <w:t>图目录</w:t>
      </w:r>
      <w:bookmarkEnd w:id="205"/>
      <w:bookmarkEnd w:id="206"/>
    </w:p>
    <w:p w:rsidR="00FF6CCE" w:rsidRDefault="00FF6CCE" w:rsidP="00FF6CCE">
      <w:pPr>
        <w:pStyle w:val="TableofFigures"/>
        <w:tabs>
          <w:tab w:val="left" w:pos="1260"/>
          <w:tab w:val="right" w:leader="dot" w:pos="9170"/>
        </w:tabs>
        <w:ind w:left="939" w:hanging="519"/>
        <w:rPr>
          <w:szCs w:val="24"/>
          <w:lang w:val="en-US" w:eastAsia="en-US"/>
        </w:rPr>
      </w:pPr>
      <w:r>
        <w:rPr>
          <w:b/>
          <w:szCs w:val="24"/>
        </w:rPr>
        <w:fldChar w:fldCharType="begin"/>
      </w:r>
      <w:r>
        <w:rPr>
          <w:b/>
          <w:szCs w:val="24"/>
        </w:rPr>
        <w:instrText xml:space="preserve"> TOC \h \z \t "</w:instrText>
      </w:r>
      <w:r>
        <w:rPr>
          <w:b/>
          <w:szCs w:val="24"/>
        </w:rPr>
        <w:instrText>图题</w:instrText>
      </w:r>
      <w:r>
        <w:rPr>
          <w:b/>
          <w:szCs w:val="24"/>
        </w:rPr>
        <w:instrText>" \c "</w:instrText>
      </w:r>
      <w:r>
        <w:rPr>
          <w:b/>
          <w:szCs w:val="24"/>
        </w:rPr>
        <w:instrText>图</w:instrText>
      </w:r>
      <w:r>
        <w:rPr>
          <w:b/>
          <w:szCs w:val="24"/>
        </w:rPr>
        <w:instrText xml:space="preserve">" </w:instrText>
      </w:r>
      <w:r>
        <w:rPr>
          <w:b/>
          <w:szCs w:val="24"/>
        </w:rPr>
        <w:fldChar w:fldCharType="separate"/>
      </w:r>
      <w:hyperlink w:anchor="_Toc392513080" w:history="1">
        <w:r>
          <w:rPr>
            <w:rStyle w:val="Hyperlink"/>
            <w:rFonts w:ascii="宋体" w:hAnsi="宋体" w:cs="宋体" w:hint="eastAsia"/>
            <w:sz w:val="24"/>
            <w:szCs w:val="24"/>
            <w:lang w:val="en-US" w:eastAsia="en-US"/>
          </w:rPr>
          <w:t>图1.</w:t>
        </w:r>
        <w:r>
          <w:rPr>
            <w:szCs w:val="24"/>
            <w:lang w:val="en-US" w:eastAsia="en-US"/>
          </w:rPr>
          <w:tab/>
        </w:r>
        <w:r>
          <w:rPr>
            <w:rStyle w:val="Hyperlink"/>
            <w:rFonts w:hint="eastAsia"/>
            <w:sz w:val="24"/>
            <w:szCs w:val="24"/>
            <w:lang w:val="en-US" w:eastAsia="en-US"/>
          </w:rPr>
          <w:t>新的各国年度清洁能源投资额</w:t>
        </w:r>
        <w:r>
          <w:rPr>
            <w:szCs w:val="24"/>
            <w:lang w:val="en-US" w:eastAsia="en-US"/>
          </w:rPr>
          <w:tab/>
        </w:r>
        <w:r>
          <w:rPr>
            <w:szCs w:val="24"/>
            <w:lang w:val="en-US" w:eastAsia="en-US"/>
          </w:rPr>
          <w:fldChar w:fldCharType="begin"/>
        </w:r>
        <w:r>
          <w:rPr>
            <w:szCs w:val="24"/>
            <w:lang w:val="en-US" w:eastAsia="en-US"/>
          </w:rPr>
          <w:instrText xml:space="preserve"> PAGEREF _Toc392513080 \h </w:instrText>
        </w:r>
        <w:r w:rsidRPr="00E83B08">
          <w:rPr>
            <w:szCs w:val="24"/>
            <w:lang w:val="en-US" w:eastAsia="en-US"/>
          </w:rPr>
        </w:r>
        <w:r>
          <w:rPr>
            <w:szCs w:val="24"/>
            <w:lang w:val="en-US" w:eastAsia="en-US"/>
          </w:rPr>
          <w:fldChar w:fldCharType="separate"/>
        </w:r>
        <w:r>
          <w:rPr>
            <w:noProof/>
            <w:szCs w:val="24"/>
            <w:lang w:val="en-US" w:eastAsia="en-US"/>
          </w:rPr>
          <w:t>4</w:t>
        </w:r>
        <w:r>
          <w:rPr>
            <w:szCs w:val="24"/>
            <w:lang w:val="en-US" w:eastAsia="en-US"/>
          </w:rPr>
          <w:fldChar w:fldCharType="end"/>
        </w:r>
      </w:hyperlink>
    </w:p>
    <w:p w:rsidR="00FF6CCE" w:rsidRDefault="00FF6CCE" w:rsidP="00FF6CCE">
      <w:pPr>
        <w:pStyle w:val="TableofFigures"/>
        <w:tabs>
          <w:tab w:val="left" w:pos="1260"/>
          <w:tab w:val="right" w:leader="dot" w:pos="9170"/>
        </w:tabs>
        <w:ind w:left="900" w:hanging="480"/>
        <w:rPr>
          <w:szCs w:val="24"/>
          <w:lang w:val="en-US" w:eastAsia="en-US"/>
        </w:rPr>
      </w:pPr>
      <w:hyperlink w:anchor="_Toc392513081" w:history="1">
        <w:r>
          <w:rPr>
            <w:rStyle w:val="Hyperlink"/>
            <w:rFonts w:ascii="宋体" w:hAnsi="宋体" w:cs="宋体" w:hint="eastAsia"/>
            <w:sz w:val="24"/>
            <w:szCs w:val="24"/>
            <w:lang w:val="en-US" w:eastAsia="en-US"/>
          </w:rPr>
          <w:t>图2.</w:t>
        </w:r>
        <w:r>
          <w:rPr>
            <w:szCs w:val="24"/>
            <w:lang w:val="en-US" w:eastAsia="en-US"/>
          </w:rPr>
          <w:tab/>
        </w:r>
        <w:r>
          <w:rPr>
            <w:rStyle w:val="Hyperlink"/>
            <w:rFonts w:hint="eastAsia"/>
            <w:sz w:val="24"/>
            <w:szCs w:val="24"/>
            <w:lang w:val="en-US" w:eastAsia="en-US"/>
          </w:rPr>
          <w:t>主要国家年度风电和太阳能投资额</w:t>
        </w:r>
        <w:r>
          <w:rPr>
            <w:szCs w:val="24"/>
            <w:lang w:val="en-US" w:eastAsia="en-US"/>
          </w:rPr>
          <w:tab/>
        </w:r>
        <w:r>
          <w:rPr>
            <w:szCs w:val="24"/>
            <w:lang w:val="en-US" w:eastAsia="en-US"/>
          </w:rPr>
          <w:fldChar w:fldCharType="begin"/>
        </w:r>
        <w:r>
          <w:rPr>
            <w:szCs w:val="24"/>
            <w:lang w:val="en-US" w:eastAsia="en-US"/>
          </w:rPr>
          <w:instrText xml:space="preserve"> PAGEREF _Toc392513081 \h </w:instrText>
        </w:r>
        <w:r w:rsidRPr="00E83B08">
          <w:rPr>
            <w:szCs w:val="24"/>
            <w:lang w:val="en-US" w:eastAsia="en-US"/>
          </w:rPr>
        </w:r>
        <w:r>
          <w:rPr>
            <w:szCs w:val="24"/>
            <w:lang w:val="en-US" w:eastAsia="en-US"/>
          </w:rPr>
          <w:fldChar w:fldCharType="separate"/>
        </w:r>
        <w:r>
          <w:rPr>
            <w:noProof/>
            <w:szCs w:val="24"/>
            <w:lang w:val="en-US" w:eastAsia="en-US"/>
          </w:rPr>
          <w:t>5</w:t>
        </w:r>
        <w:r>
          <w:rPr>
            <w:szCs w:val="24"/>
            <w:lang w:val="en-US" w:eastAsia="en-US"/>
          </w:rPr>
          <w:fldChar w:fldCharType="end"/>
        </w:r>
      </w:hyperlink>
    </w:p>
    <w:p w:rsidR="00FF6CCE" w:rsidRDefault="00FF6CCE" w:rsidP="00FF6CCE">
      <w:pPr>
        <w:pStyle w:val="TableofFigures"/>
        <w:tabs>
          <w:tab w:val="left" w:pos="1260"/>
          <w:tab w:val="right" w:leader="dot" w:pos="9170"/>
        </w:tabs>
        <w:ind w:left="900" w:hanging="480"/>
        <w:rPr>
          <w:szCs w:val="24"/>
          <w:lang w:val="en-US" w:eastAsia="en-US"/>
        </w:rPr>
      </w:pPr>
      <w:hyperlink w:anchor="_Toc392513082" w:history="1">
        <w:r>
          <w:rPr>
            <w:rStyle w:val="Hyperlink"/>
            <w:rFonts w:ascii="宋体" w:hAnsi="宋体" w:cs="宋体" w:hint="eastAsia"/>
            <w:sz w:val="24"/>
            <w:szCs w:val="24"/>
            <w:lang w:val="en-US" w:eastAsia="en-US"/>
          </w:rPr>
          <w:t>图3.</w:t>
        </w:r>
        <w:r>
          <w:rPr>
            <w:szCs w:val="24"/>
            <w:lang w:val="en-US" w:eastAsia="en-US"/>
          </w:rPr>
          <w:tab/>
        </w:r>
        <w:r>
          <w:rPr>
            <w:rStyle w:val="Hyperlink"/>
            <w:rFonts w:hint="eastAsia"/>
            <w:sz w:val="24"/>
            <w:szCs w:val="24"/>
            <w:lang w:val="en-US" w:eastAsia="en-US"/>
          </w:rPr>
          <w:t>清洁能源领域的风投资金额</w:t>
        </w:r>
        <w:r>
          <w:rPr>
            <w:szCs w:val="24"/>
            <w:lang w:val="en-US" w:eastAsia="en-US"/>
          </w:rPr>
          <w:tab/>
        </w:r>
        <w:r>
          <w:rPr>
            <w:szCs w:val="24"/>
            <w:lang w:val="en-US" w:eastAsia="en-US"/>
          </w:rPr>
          <w:fldChar w:fldCharType="begin"/>
        </w:r>
        <w:r>
          <w:rPr>
            <w:szCs w:val="24"/>
            <w:lang w:val="en-US" w:eastAsia="en-US"/>
          </w:rPr>
          <w:instrText xml:space="preserve"> PAGEREF _Toc392513082 \h </w:instrText>
        </w:r>
        <w:r w:rsidRPr="00E83B08">
          <w:rPr>
            <w:szCs w:val="24"/>
            <w:lang w:val="en-US" w:eastAsia="en-US"/>
          </w:rPr>
        </w:r>
        <w:r>
          <w:rPr>
            <w:szCs w:val="24"/>
            <w:lang w:val="en-US" w:eastAsia="en-US"/>
          </w:rPr>
          <w:fldChar w:fldCharType="separate"/>
        </w:r>
        <w:r>
          <w:rPr>
            <w:noProof/>
            <w:szCs w:val="24"/>
            <w:lang w:val="en-US" w:eastAsia="en-US"/>
          </w:rPr>
          <w:t>5</w:t>
        </w:r>
        <w:r>
          <w:rPr>
            <w:szCs w:val="24"/>
            <w:lang w:val="en-US" w:eastAsia="en-US"/>
          </w:rPr>
          <w:fldChar w:fldCharType="end"/>
        </w:r>
      </w:hyperlink>
    </w:p>
    <w:p w:rsidR="00FF6CCE" w:rsidRDefault="00FF6CCE" w:rsidP="00FF6CCE">
      <w:pPr>
        <w:pStyle w:val="TableofFigures"/>
        <w:tabs>
          <w:tab w:val="left" w:pos="1260"/>
          <w:tab w:val="right" w:leader="dot" w:pos="9170"/>
        </w:tabs>
        <w:ind w:left="900" w:hanging="480"/>
        <w:rPr>
          <w:szCs w:val="24"/>
          <w:lang w:val="en-US" w:eastAsia="en-US"/>
        </w:rPr>
      </w:pPr>
      <w:hyperlink w:anchor="_Toc392513083" w:history="1">
        <w:r>
          <w:rPr>
            <w:rStyle w:val="Hyperlink"/>
            <w:rFonts w:ascii="宋体" w:hAnsi="宋体" w:cs="宋体" w:hint="eastAsia"/>
            <w:sz w:val="24"/>
            <w:szCs w:val="24"/>
            <w:lang w:val="en-US" w:eastAsia="en-US"/>
          </w:rPr>
          <w:t>图4.</w:t>
        </w:r>
        <w:r>
          <w:rPr>
            <w:szCs w:val="24"/>
            <w:lang w:val="en-US" w:eastAsia="en-US"/>
          </w:rPr>
          <w:tab/>
        </w:r>
        <w:r>
          <w:rPr>
            <w:rStyle w:val="Hyperlink"/>
            <w:rFonts w:hint="eastAsia"/>
            <w:sz w:val="24"/>
            <w:szCs w:val="24"/>
            <w:lang w:val="en-US" w:eastAsia="en-US"/>
          </w:rPr>
          <w:t>主要国家在清洁能源领域的研发和示范支出情况</w:t>
        </w:r>
        <w:r>
          <w:rPr>
            <w:szCs w:val="24"/>
            <w:lang w:val="en-US" w:eastAsia="en-US"/>
          </w:rPr>
          <w:tab/>
        </w:r>
        <w:r>
          <w:rPr>
            <w:szCs w:val="24"/>
            <w:lang w:val="en-US" w:eastAsia="en-US"/>
          </w:rPr>
          <w:fldChar w:fldCharType="begin"/>
        </w:r>
        <w:r>
          <w:rPr>
            <w:szCs w:val="24"/>
            <w:lang w:val="en-US" w:eastAsia="en-US"/>
          </w:rPr>
          <w:instrText xml:space="preserve"> PAGEREF _Toc392513083 \h </w:instrText>
        </w:r>
        <w:r w:rsidRPr="00E83B08">
          <w:rPr>
            <w:szCs w:val="24"/>
            <w:lang w:val="en-US" w:eastAsia="en-US"/>
          </w:rPr>
        </w:r>
        <w:r>
          <w:rPr>
            <w:szCs w:val="24"/>
            <w:lang w:val="en-US" w:eastAsia="en-US"/>
          </w:rPr>
          <w:fldChar w:fldCharType="separate"/>
        </w:r>
        <w:r>
          <w:rPr>
            <w:noProof/>
            <w:szCs w:val="24"/>
            <w:lang w:val="en-US" w:eastAsia="en-US"/>
          </w:rPr>
          <w:t>6</w:t>
        </w:r>
        <w:r>
          <w:rPr>
            <w:szCs w:val="24"/>
            <w:lang w:val="en-US" w:eastAsia="en-US"/>
          </w:rPr>
          <w:fldChar w:fldCharType="end"/>
        </w:r>
      </w:hyperlink>
    </w:p>
    <w:p w:rsidR="00FF6CCE" w:rsidRDefault="00FF6CCE" w:rsidP="00FF6CCE">
      <w:pPr>
        <w:pStyle w:val="TableofFigures"/>
        <w:tabs>
          <w:tab w:val="left" w:pos="1260"/>
          <w:tab w:val="right" w:leader="dot" w:pos="9170"/>
        </w:tabs>
        <w:ind w:left="900" w:hanging="480"/>
        <w:rPr>
          <w:szCs w:val="24"/>
          <w:lang w:val="en-US" w:eastAsia="en-US"/>
        </w:rPr>
      </w:pPr>
      <w:hyperlink w:anchor="_Toc392513084" w:history="1">
        <w:r>
          <w:rPr>
            <w:rStyle w:val="Hyperlink"/>
            <w:rFonts w:ascii="宋体" w:hAnsi="宋体" w:cs="宋体" w:hint="eastAsia"/>
            <w:sz w:val="24"/>
            <w:szCs w:val="24"/>
            <w:lang w:val="en-US" w:eastAsia="en-US"/>
          </w:rPr>
          <w:t>图5.</w:t>
        </w:r>
        <w:r>
          <w:rPr>
            <w:szCs w:val="24"/>
            <w:lang w:val="en-US" w:eastAsia="en-US"/>
          </w:rPr>
          <w:tab/>
        </w:r>
        <w:r>
          <w:rPr>
            <w:rStyle w:val="Hyperlink"/>
            <w:rFonts w:hint="eastAsia"/>
            <w:sz w:val="24"/>
            <w:szCs w:val="24"/>
            <w:lang w:val="en-US" w:eastAsia="en-US"/>
          </w:rPr>
          <w:t>美国专利和商标局授予的清洁能源和污染控制领域的专利情况</w:t>
        </w:r>
        <w:r>
          <w:rPr>
            <w:szCs w:val="24"/>
            <w:lang w:val="en-US" w:eastAsia="en-US"/>
          </w:rPr>
          <w:tab/>
        </w:r>
        <w:r>
          <w:rPr>
            <w:szCs w:val="24"/>
            <w:lang w:val="en-US" w:eastAsia="en-US"/>
          </w:rPr>
          <w:fldChar w:fldCharType="begin"/>
        </w:r>
        <w:r>
          <w:rPr>
            <w:szCs w:val="24"/>
            <w:lang w:val="en-US" w:eastAsia="en-US"/>
          </w:rPr>
          <w:instrText xml:space="preserve"> PAGEREF _Toc392513084 \h </w:instrText>
        </w:r>
        <w:r w:rsidRPr="00E83B08">
          <w:rPr>
            <w:szCs w:val="24"/>
            <w:lang w:val="en-US" w:eastAsia="en-US"/>
          </w:rPr>
        </w:r>
        <w:r>
          <w:rPr>
            <w:szCs w:val="24"/>
            <w:lang w:val="en-US" w:eastAsia="en-US"/>
          </w:rPr>
          <w:fldChar w:fldCharType="separate"/>
        </w:r>
        <w:r>
          <w:rPr>
            <w:noProof/>
            <w:szCs w:val="24"/>
            <w:lang w:val="en-US" w:eastAsia="en-US"/>
          </w:rPr>
          <w:t>7</w:t>
        </w:r>
        <w:r>
          <w:rPr>
            <w:szCs w:val="24"/>
            <w:lang w:val="en-US" w:eastAsia="en-US"/>
          </w:rPr>
          <w:fldChar w:fldCharType="end"/>
        </w:r>
      </w:hyperlink>
    </w:p>
    <w:p w:rsidR="00FF6CCE" w:rsidRDefault="00FF6CCE" w:rsidP="00FF6CCE">
      <w:pPr>
        <w:pStyle w:val="TableofFigures"/>
        <w:tabs>
          <w:tab w:val="left" w:pos="1260"/>
          <w:tab w:val="right" w:leader="dot" w:pos="9170"/>
        </w:tabs>
        <w:ind w:left="900" w:hanging="480"/>
        <w:rPr>
          <w:szCs w:val="24"/>
          <w:lang w:val="en-US" w:eastAsia="en-US"/>
        </w:rPr>
      </w:pPr>
      <w:hyperlink w:anchor="_Toc392513085" w:history="1">
        <w:r>
          <w:rPr>
            <w:rStyle w:val="Hyperlink"/>
            <w:rFonts w:ascii="宋体" w:hAnsi="宋体" w:cs="宋体" w:hint="eastAsia"/>
            <w:sz w:val="24"/>
            <w:szCs w:val="24"/>
            <w:lang w:val="en-US" w:eastAsia="en-US"/>
          </w:rPr>
          <w:t>图6.</w:t>
        </w:r>
        <w:r>
          <w:rPr>
            <w:szCs w:val="24"/>
            <w:lang w:val="en-US" w:eastAsia="en-US"/>
          </w:rPr>
          <w:tab/>
        </w:r>
        <w:r>
          <w:rPr>
            <w:rStyle w:val="Hyperlink"/>
            <w:rFonts w:hint="eastAsia"/>
            <w:sz w:val="24"/>
            <w:szCs w:val="24"/>
            <w:lang w:val="en-US" w:eastAsia="en-US"/>
          </w:rPr>
          <w:t>按技术领域分类，清洁能源专利</w:t>
        </w:r>
        <w:r>
          <w:rPr>
            <w:szCs w:val="24"/>
            <w:lang w:val="en-US" w:eastAsia="en-US"/>
          </w:rPr>
          <w:tab/>
        </w:r>
        <w:r>
          <w:rPr>
            <w:szCs w:val="24"/>
            <w:lang w:val="en-US" w:eastAsia="en-US"/>
          </w:rPr>
          <w:fldChar w:fldCharType="begin"/>
        </w:r>
        <w:r>
          <w:rPr>
            <w:szCs w:val="24"/>
            <w:lang w:val="en-US" w:eastAsia="en-US"/>
          </w:rPr>
          <w:instrText xml:space="preserve"> PAGEREF _Toc392513085 \h </w:instrText>
        </w:r>
        <w:r w:rsidRPr="00E83B08">
          <w:rPr>
            <w:szCs w:val="24"/>
            <w:lang w:val="en-US" w:eastAsia="en-US"/>
          </w:rPr>
        </w:r>
        <w:r>
          <w:rPr>
            <w:szCs w:val="24"/>
            <w:lang w:val="en-US" w:eastAsia="en-US"/>
          </w:rPr>
          <w:fldChar w:fldCharType="separate"/>
        </w:r>
        <w:r>
          <w:rPr>
            <w:noProof/>
            <w:szCs w:val="24"/>
            <w:lang w:val="en-US" w:eastAsia="en-US"/>
          </w:rPr>
          <w:t>7</w:t>
        </w:r>
        <w:r>
          <w:rPr>
            <w:szCs w:val="24"/>
            <w:lang w:val="en-US" w:eastAsia="en-US"/>
          </w:rPr>
          <w:fldChar w:fldCharType="end"/>
        </w:r>
      </w:hyperlink>
    </w:p>
    <w:p w:rsidR="00FF6CCE" w:rsidRDefault="00FF6CCE" w:rsidP="00FF6CCE">
      <w:pPr>
        <w:pStyle w:val="TableofFigures"/>
        <w:tabs>
          <w:tab w:val="left" w:pos="1260"/>
          <w:tab w:val="right" w:leader="dot" w:pos="9170"/>
        </w:tabs>
        <w:ind w:left="900" w:hanging="480"/>
        <w:rPr>
          <w:szCs w:val="24"/>
          <w:lang w:val="en-US" w:eastAsia="en-US"/>
        </w:rPr>
      </w:pPr>
      <w:hyperlink w:anchor="_Toc392513086" w:history="1">
        <w:r>
          <w:rPr>
            <w:rStyle w:val="Hyperlink"/>
            <w:rFonts w:ascii="宋体" w:hAnsi="宋体" w:cs="宋体" w:hint="eastAsia"/>
            <w:sz w:val="24"/>
            <w:szCs w:val="24"/>
            <w:lang w:val="en-US" w:eastAsia="en-US"/>
          </w:rPr>
          <w:t>图7.</w:t>
        </w:r>
        <w:r>
          <w:rPr>
            <w:szCs w:val="24"/>
            <w:lang w:val="en-US" w:eastAsia="en-US"/>
          </w:rPr>
          <w:tab/>
        </w:r>
        <w:r>
          <w:rPr>
            <w:rStyle w:val="Hyperlink"/>
            <w:rFonts w:hint="eastAsia"/>
            <w:sz w:val="24"/>
            <w:szCs w:val="24"/>
            <w:lang w:val="en-US" w:eastAsia="en-US"/>
          </w:rPr>
          <w:t>特定技术领域内的清洁能源专利下降</w:t>
        </w:r>
        <w:r>
          <w:rPr>
            <w:szCs w:val="24"/>
            <w:lang w:val="en-US" w:eastAsia="en-US"/>
          </w:rPr>
          <w:tab/>
        </w:r>
        <w:r>
          <w:rPr>
            <w:szCs w:val="24"/>
            <w:lang w:val="en-US" w:eastAsia="en-US"/>
          </w:rPr>
          <w:fldChar w:fldCharType="begin"/>
        </w:r>
        <w:r>
          <w:rPr>
            <w:szCs w:val="24"/>
            <w:lang w:val="en-US" w:eastAsia="en-US"/>
          </w:rPr>
          <w:instrText xml:space="preserve"> PAGEREF _Toc392513086 \h </w:instrText>
        </w:r>
        <w:r w:rsidRPr="00E83B08">
          <w:rPr>
            <w:szCs w:val="24"/>
            <w:lang w:val="en-US" w:eastAsia="en-US"/>
          </w:rPr>
        </w:r>
        <w:r>
          <w:rPr>
            <w:szCs w:val="24"/>
            <w:lang w:val="en-US" w:eastAsia="en-US"/>
          </w:rPr>
          <w:fldChar w:fldCharType="separate"/>
        </w:r>
        <w:r>
          <w:rPr>
            <w:noProof/>
            <w:szCs w:val="24"/>
            <w:lang w:val="en-US" w:eastAsia="en-US"/>
          </w:rPr>
          <w:t>8</w:t>
        </w:r>
        <w:r>
          <w:rPr>
            <w:szCs w:val="24"/>
            <w:lang w:val="en-US" w:eastAsia="en-US"/>
          </w:rPr>
          <w:fldChar w:fldCharType="end"/>
        </w:r>
      </w:hyperlink>
    </w:p>
    <w:p w:rsidR="00FF6CCE" w:rsidRDefault="00FF6CCE" w:rsidP="00FF6CCE">
      <w:pPr>
        <w:pStyle w:val="TableofFigures"/>
        <w:tabs>
          <w:tab w:val="left" w:pos="1260"/>
          <w:tab w:val="right" w:leader="dot" w:pos="9170"/>
        </w:tabs>
        <w:ind w:left="900" w:hanging="480"/>
        <w:rPr>
          <w:szCs w:val="24"/>
          <w:lang w:val="en-US" w:eastAsia="en-US"/>
        </w:rPr>
      </w:pPr>
      <w:hyperlink w:anchor="_Toc392513087" w:history="1">
        <w:r>
          <w:rPr>
            <w:rStyle w:val="Hyperlink"/>
            <w:rFonts w:ascii="宋体" w:hAnsi="宋体" w:cs="宋体" w:hint="eastAsia"/>
            <w:sz w:val="24"/>
            <w:szCs w:val="24"/>
            <w:lang w:val="en-US" w:eastAsia="en-US"/>
          </w:rPr>
          <w:t>图8.</w:t>
        </w:r>
        <w:r>
          <w:rPr>
            <w:szCs w:val="24"/>
            <w:lang w:val="en-US" w:eastAsia="en-US"/>
          </w:rPr>
          <w:tab/>
        </w:r>
        <w:r>
          <w:rPr>
            <w:rStyle w:val="Hyperlink"/>
            <w:rFonts w:hint="eastAsia"/>
            <w:sz w:val="24"/>
            <w:szCs w:val="24"/>
            <w:lang w:val="en-US" w:eastAsia="en-US"/>
          </w:rPr>
          <w:t>按不同技术领域划分的美国专利商标局清洁能源专利</w:t>
        </w:r>
        <w:r>
          <w:rPr>
            <w:szCs w:val="24"/>
            <w:lang w:val="en-US" w:eastAsia="en-US"/>
          </w:rPr>
          <w:tab/>
        </w:r>
        <w:r>
          <w:rPr>
            <w:szCs w:val="24"/>
            <w:lang w:val="en-US" w:eastAsia="en-US"/>
          </w:rPr>
          <w:fldChar w:fldCharType="begin"/>
        </w:r>
        <w:r>
          <w:rPr>
            <w:szCs w:val="24"/>
            <w:lang w:val="en-US" w:eastAsia="en-US"/>
          </w:rPr>
          <w:instrText xml:space="preserve"> PAGEREF _Toc392513087 \h </w:instrText>
        </w:r>
        <w:r w:rsidRPr="00E83B08">
          <w:rPr>
            <w:szCs w:val="24"/>
            <w:lang w:val="en-US" w:eastAsia="en-US"/>
          </w:rPr>
        </w:r>
        <w:r>
          <w:rPr>
            <w:szCs w:val="24"/>
            <w:lang w:val="en-US" w:eastAsia="en-US"/>
          </w:rPr>
          <w:fldChar w:fldCharType="separate"/>
        </w:r>
        <w:r>
          <w:rPr>
            <w:noProof/>
            <w:szCs w:val="24"/>
            <w:lang w:val="en-US" w:eastAsia="en-US"/>
          </w:rPr>
          <w:t>8</w:t>
        </w:r>
        <w:r>
          <w:rPr>
            <w:szCs w:val="24"/>
            <w:lang w:val="en-US" w:eastAsia="en-US"/>
          </w:rPr>
          <w:fldChar w:fldCharType="end"/>
        </w:r>
      </w:hyperlink>
    </w:p>
    <w:p w:rsidR="00FF6CCE" w:rsidRDefault="00FF6CCE" w:rsidP="00FF6CCE">
      <w:pPr>
        <w:pStyle w:val="TableofFigures"/>
        <w:tabs>
          <w:tab w:val="left" w:pos="1260"/>
          <w:tab w:val="right" w:leader="dot" w:pos="9170"/>
        </w:tabs>
        <w:ind w:left="900" w:hanging="480"/>
        <w:rPr>
          <w:szCs w:val="24"/>
          <w:lang w:val="en-US" w:eastAsia="en-US"/>
        </w:rPr>
      </w:pPr>
      <w:hyperlink w:anchor="_Toc392513088" w:history="1">
        <w:r>
          <w:rPr>
            <w:rStyle w:val="Hyperlink"/>
            <w:rFonts w:ascii="宋体" w:hAnsi="宋体" w:cs="宋体" w:hint="eastAsia"/>
            <w:sz w:val="24"/>
            <w:szCs w:val="24"/>
            <w:lang w:val="en-US" w:eastAsia="en-US"/>
          </w:rPr>
          <w:t>图9.</w:t>
        </w:r>
        <w:r>
          <w:rPr>
            <w:szCs w:val="24"/>
            <w:lang w:val="en-US" w:eastAsia="en-US"/>
          </w:rPr>
          <w:tab/>
        </w:r>
        <w:r>
          <w:rPr>
            <w:rStyle w:val="Hyperlink"/>
            <w:rFonts w:cs="宋体" w:hint="eastAsia"/>
            <w:sz w:val="24"/>
            <w:szCs w:val="24"/>
            <w:lang w:val="en-US" w:eastAsia="en-US"/>
          </w:rPr>
          <w:t>涵盖主要清洁能源专利申请国家和技术的专利技术活动指数</w:t>
        </w:r>
        <w:r>
          <w:rPr>
            <w:szCs w:val="24"/>
            <w:lang w:val="en-US" w:eastAsia="en-US"/>
          </w:rPr>
          <w:tab/>
        </w:r>
        <w:r>
          <w:rPr>
            <w:szCs w:val="24"/>
            <w:lang w:val="en-US" w:eastAsia="en-US"/>
          </w:rPr>
          <w:fldChar w:fldCharType="begin"/>
        </w:r>
        <w:r>
          <w:rPr>
            <w:szCs w:val="24"/>
            <w:lang w:val="en-US" w:eastAsia="en-US"/>
          </w:rPr>
          <w:instrText xml:space="preserve"> PAGEREF _Toc392513088 \h </w:instrText>
        </w:r>
        <w:r w:rsidRPr="00E83B08">
          <w:rPr>
            <w:szCs w:val="24"/>
            <w:lang w:val="en-US" w:eastAsia="en-US"/>
          </w:rPr>
        </w:r>
        <w:r>
          <w:rPr>
            <w:szCs w:val="24"/>
            <w:lang w:val="en-US" w:eastAsia="en-US"/>
          </w:rPr>
          <w:fldChar w:fldCharType="separate"/>
        </w:r>
        <w:r>
          <w:rPr>
            <w:noProof/>
            <w:szCs w:val="24"/>
            <w:lang w:val="en-US" w:eastAsia="en-US"/>
          </w:rPr>
          <w:t>9</w:t>
        </w:r>
        <w:r>
          <w:rPr>
            <w:szCs w:val="24"/>
            <w:lang w:val="en-US" w:eastAsia="en-US"/>
          </w:rPr>
          <w:fldChar w:fldCharType="end"/>
        </w:r>
      </w:hyperlink>
    </w:p>
    <w:p w:rsidR="00FF6CCE" w:rsidRDefault="00FF6CCE" w:rsidP="00FF6CCE">
      <w:pPr>
        <w:pStyle w:val="TableofFigures"/>
        <w:tabs>
          <w:tab w:val="left" w:pos="1470"/>
          <w:tab w:val="right" w:leader="dot" w:pos="9170"/>
        </w:tabs>
        <w:ind w:left="900" w:hanging="480"/>
        <w:rPr>
          <w:szCs w:val="24"/>
          <w:lang w:val="en-US" w:eastAsia="en-US"/>
        </w:rPr>
      </w:pPr>
      <w:hyperlink w:anchor="_Toc392513089" w:history="1">
        <w:r>
          <w:rPr>
            <w:rStyle w:val="Hyperlink"/>
            <w:rFonts w:ascii="宋体" w:hAnsi="宋体" w:cs="宋体" w:hint="eastAsia"/>
            <w:sz w:val="24"/>
            <w:szCs w:val="24"/>
            <w:lang w:val="en-US" w:eastAsia="en-US"/>
          </w:rPr>
          <w:t>图10.</w:t>
        </w:r>
        <w:r>
          <w:rPr>
            <w:szCs w:val="24"/>
            <w:lang w:val="en-US" w:eastAsia="en-US"/>
          </w:rPr>
          <w:tab/>
        </w:r>
        <w:r>
          <w:rPr>
            <w:rStyle w:val="Hyperlink"/>
            <w:rFonts w:hint="eastAsia"/>
            <w:sz w:val="24"/>
            <w:szCs w:val="24"/>
            <w:lang w:val="en-US" w:eastAsia="en-US"/>
          </w:rPr>
          <w:t>投入清洁能源技术的公共刺激性资金（</w:t>
        </w:r>
        <w:r>
          <w:rPr>
            <w:rStyle w:val="Hyperlink"/>
            <w:sz w:val="24"/>
            <w:szCs w:val="24"/>
            <w:lang w:val="en-US" w:eastAsia="en-US"/>
          </w:rPr>
          <w:t>2008</w:t>
        </w:r>
        <w:r>
          <w:rPr>
            <w:rStyle w:val="Hyperlink"/>
            <w:rFonts w:hint="eastAsia"/>
            <w:sz w:val="24"/>
            <w:szCs w:val="24"/>
            <w:lang w:val="en-US" w:eastAsia="en-US"/>
          </w:rPr>
          <w:t>年至</w:t>
        </w:r>
        <w:r>
          <w:rPr>
            <w:rStyle w:val="Hyperlink"/>
            <w:sz w:val="24"/>
            <w:szCs w:val="24"/>
            <w:lang w:val="en-US" w:eastAsia="en-US"/>
          </w:rPr>
          <w:t>2009</w:t>
        </w:r>
        <w:r>
          <w:rPr>
            <w:rStyle w:val="Hyperlink"/>
            <w:rFonts w:hint="eastAsia"/>
            <w:sz w:val="24"/>
            <w:szCs w:val="24"/>
            <w:lang w:val="en-US" w:eastAsia="en-US"/>
          </w:rPr>
          <w:t>年）</w:t>
        </w:r>
        <w:r>
          <w:rPr>
            <w:szCs w:val="24"/>
            <w:lang w:val="en-US" w:eastAsia="en-US"/>
          </w:rPr>
          <w:tab/>
        </w:r>
        <w:r>
          <w:rPr>
            <w:szCs w:val="24"/>
            <w:lang w:val="en-US" w:eastAsia="en-US"/>
          </w:rPr>
          <w:fldChar w:fldCharType="begin"/>
        </w:r>
        <w:r>
          <w:rPr>
            <w:szCs w:val="24"/>
            <w:lang w:val="en-US" w:eastAsia="en-US"/>
          </w:rPr>
          <w:instrText xml:space="preserve"> PAGEREF _Toc392513089 \h </w:instrText>
        </w:r>
        <w:r w:rsidRPr="00E83B08">
          <w:rPr>
            <w:szCs w:val="24"/>
            <w:lang w:val="en-US" w:eastAsia="en-US"/>
          </w:rPr>
        </w:r>
        <w:r>
          <w:rPr>
            <w:szCs w:val="24"/>
            <w:lang w:val="en-US" w:eastAsia="en-US"/>
          </w:rPr>
          <w:fldChar w:fldCharType="separate"/>
        </w:r>
        <w:r>
          <w:rPr>
            <w:noProof/>
            <w:szCs w:val="24"/>
            <w:lang w:val="en-US" w:eastAsia="en-US"/>
          </w:rPr>
          <w:t>10</w:t>
        </w:r>
        <w:r>
          <w:rPr>
            <w:szCs w:val="24"/>
            <w:lang w:val="en-US" w:eastAsia="en-US"/>
          </w:rPr>
          <w:fldChar w:fldCharType="end"/>
        </w:r>
      </w:hyperlink>
    </w:p>
    <w:p w:rsidR="00FF6CCE" w:rsidRDefault="00FF6CCE" w:rsidP="00FF6CCE">
      <w:pPr>
        <w:pStyle w:val="TableofFigures"/>
        <w:tabs>
          <w:tab w:val="left" w:pos="1470"/>
          <w:tab w:val="right" w:leader="dot" w:pos="9170"/>
        </w:tabs>
        <w:ind w:left="900" w:hanging="480"/>
        <w:rPr>
          <w:szCs w:val="24"/>
          <w:lang w:val="en-US" w:eastAsia="en-US"/>
        </w:rPr>
      </w:pPr>
      <w:hyperlink w:anchor="_Toc392513090" w:history="1">
        <w:r>
          <w:rPr>
            <w:rStyle w:val="Hyperlink"/>
            <w:rFonts w:ascii="宋体" w:hAnsi="宋体" w:cs="宋体" w:hint="eastAsia"/>
            <w:sz w:val="24"/>
            <w:szCs w:val="24"/>
            <w:lang w:val="en-US" w:eastAsia="en-US"/>
          </w:rPr>
          <w:t>图11.</w:t>
        </w:r>
        <w:r>
          <w:rPr>
            <w:szCs w:val="24"/>
            <w:lang w:val="en-US" w:eastAsia="en-US"/>
          </w:rPr>
          <w:tab/>
        </w:r>
        <w:r>
          <w:rPr>
            <w:rStyle w:val="Hyperlink"/>
            <w:rFonts w:cs="宋体" w:hint="eastAsia"/>
            <w:sz w:val="24"/>
            <w:szCs w:val="24"/>
            <w:lang w:val="en-US" w:eastAsia="en-US"/>
          </w:rPr>
          <w:t>按联邦机构分类的美国能源创新资金的分配情况</w:t>
        </w:r>
        <w:r>
          <w:rPr>
            <w:szCs w:val="24"/>
            <w:lang w:val="en-US" w:eastAsia="en-US"/>
          </w:rPr>
          <w:tab/>
        </w:r>
        <w:r>
          <w:rPr>
            <w:szCs w:val="24"/>
            <w:lang w:val="en-US" w:eastAsia="en-US"/>
          </w:rPr>
          <w:fldChar w:fldCharType="begin"/>
        </w:r>
        <w:r>
          <w:rPr>
            <w:szCs w:val="24"/>
            <w:lang w:val="en-US" w:eastAsia="en-US"/>
          </w:rPr>
          <w:instrText xml:space="preserve"> PAGEREF _Toc392513090 \h </w:instrText>
        </w:r>
        <w:r w:rsidRPr="00E83B08">
          <w:rPr>
            <w:szCs w:val="24"/>
            <w:lang w:val="en-US" w:eastAsia="en-US"/>
          </w:rPr>
        </w:r>
        <w:r>
          <w:rPr>
            <w:szCs w:val="24"/>
            <w:lang w:val="en-US" w:eastAsia="en-US"/>
          </w:rPr>
          <w:fldChar w:fldCharType="separate"/>
        </w:r>
        <w:r>
          <w:rPr>
            <w:noProof/>
            <w:szCs w:val="24"/>
            <w:lang w:val="en-US" w:eastAsia="en-US"/>
          </w:rPr>
          <w:t>12</w:t>
        </w:r>
        <w:r>
          <w:rPr>
            <w:szCs w:val="24"/>
            <w:lang w:val="en-US" w:eastAsia="en-US"/>
          </w:rPr>
          <w:fldChar w:fldCharType="end"/>
        </w:r>
      </w:hyperlink>
    </w:p>
    <w:p w:rsidR="00FF6CCE" w:rsidRDefault="00FF6CCE" w:rsidP="00FF6CCE">
      <w:pPr>
        <w:pStyle w:val="TableofFigures"/>
        <w:tabs>
          <w:tab w:val="left" w:pos="1470"/>
          <w:tab w:val="right" w:leader="dot" w:pos="9170"/>
        </w:tabs>
        <w:ind w:left="900" w:hanging="480"/>
        <w:rPr>
          <w:szCs w:val="24"/>
          <w:lang w:val="en-US" w:eastAsia="en-US"/>
        </w:rPr>
      </w:pPr>
      <w:hyperlink w:anchor="_Toc392513091" w:history="1">
        <w:r>
          <w:rPr>
            <w:rStyle w:val="Hyperlink"/>
            <w:rFonts w:ascii="宋体" w:hAnsi="宋体" w:cs="宋体" w:hint="eastAsia"/>
            <w:sz w:val="24"/>
            <w:szCs w:val="24"/>
            <w:lang w:val="en-US" w:eastAsia="en-US"/>
          </w:rPr>
          <w:t>图12.</w:t>
        </w:r>
        <w:r>
          <w:rPr>
            <w:szCs w:val="24"/>
            <w:lang w:val="en-US" w:eastAsia="en-US"/>
          </w:rPr>
          <w:tab/>
        </w:r>
        <w:r>
          <w:rPr>
            <w:rStyle w:val="Hyperlink"/>
            <w:rFonts w:hint="eastAsia"/>
            <w:sz w:val="24"/>
            <w:szCs w:val="24"/>
            <w:lang w:val="en-US" w:eastAsia="en-US"/>
          </w:rPr>
          <w:t>美国能源部资助历史</w:t>
        </w:r>
        <w:r>
          <w:rPr>
            <w:szCs w:val="24"/>
            <w:lang w:val="en-US" w:eastAsia="en-US"/>
          </w:rPr>
          <w:tab/>
        </w:r>
        <w:r>
          <w:rPr>
            <w:szCs w:val="24"/>
            <w:lang w:val="en-US" w:eastAsia="en-US"/>
          </w:rPr>
          <w:fldChar w:fldCharType="begin"/>
        </w:r>
        <w:r>
          <w:rPr>
            <w:szCs w:val="24"/>
            <w:lang w:val="en-US" w:eastAsia="en-US"/>
          </w:rPr>
          <w:instrText xml:space="preserve"> PAGEREF _Toc392513091 \h </w:instrText>
        </w:r>
        <w:r w:rsidRPr="00E83B08">
          <w:rPr>
            <w:szCs w:val="24"/>
            <w:lang w:val="en-US" w:eastAsia="en-US"/>
          </w:rPr>
        </w:r>
        <w:r>
          <w:rPr>
            <w:szCs w:val="24"/>
            <w:lang w:val="en-US" w:eastAsia="en-US"/>
          </w:rPr>
          <w:fldChar w:fldCharType="separate"/>
        </w:r>
        <w:r>
          <w:rPr>
            <w:noProof/>
            <w:szCs w:val="24"/>
            <w:lang w:val="en-US" w:eastAsia="en-US"/>
          </w:rPr>
          <w:t>13</w:t>
        </w:r>
        <w:r>
          <w:rPr>
            <w:szCs w:val="24"/>
            <w:lang w:val="en-US" w:eastAsia="en-US"/>
          </w:rPr>
          <w:fldChar w:fldCharType="end"/>
        </w:r>
      </w:hyperlink>
    </w:p>
    <w:p w:rsidR="00FF6CCE" w:rsidRDefault="00FF6CCE" w:rsidP="00FF6CCE">
      <w:pPr>
        <w:pStyle w:val="TableofFigures"/>
        <w:tabs>
          <w:tab w:val="left" w:pos="1470"/>
          <w:tab w:val="right" w:leader="dot" w:pos="9170"/>
        </w:tabs>
        <w:ind w:left="900" w:hanging="480"/>
        <w:rPr>
          <w:szCs w:val="24"/>
          <w:lang w:val="en-US" w:eastAsia="en-US"/>
        </w:rPr>
      </w:pPr>
      <w:hyperlink w:anchor="_Toc392513092" w:history="1">
        <w:r>
          <w:rPr>
            <w:rStyle w:val="Hyperlink"/>
            <w:rFonts w:ascii="宋体" w:hAnsi="宋体" w:cs="宋体" w:hint="eastAsia"/>
            <w:sz w:val="24"/>
            <w:szCs w:val="24"/>
            <w:lang w:val="en-US" w:eastAsia="en-US"/>
          </w:rPr>
          <w:t>图13.</w:t>
        </w:r>
        <w:r>
          <w:rPr>
            <w:szCs w:val="24"/>
            <w:lang w:val="en-US" w:eastAsia="en-US"/>
          </w:rPr>
          <w:tab/>
        </w:r>
        <w:r>
          <w:rPr>
            <w:rStyle w:val="Hyperlink"/>
            <w:rFonts w:cs="宋体" w:hint="eastAsia"/>
            <w:sz w:val="24"/>
            <w:szCs w:val="24"/>
            <w:lang w:val="en-US" w:eastAsia="en-US"/>
          </w:rPr>
          <w:t>美国能源部的计划在不同技术阶段和风险水平时所起的作用图示</w:t>
        </w:r>
        <w:r>
          <w:rPr>
            <w:szCs w:val="24"/>
            <w:lang w:val="en-US" w:eastAsia="en-US"/>
          </w:rPr>
          <w:tab/>
        </w:r>
        <w:r>
          <w:rPr>
            <w:szCs w:val="24"/>
            <w:lang w:val="en-US" w:eastAsia="en-US"/>
          </w:rPr>
          <w:fldChar w:fldCharType="begin"/>
        </w:r>
        <w:r>
          <w:rPr>
            <w:szCs w:val="24"/>
            <w:lang w:val="en-US" w:eastAsia="en-US"/>
          </w:rPr>
          <w:instrText xml:space="preserve"> PAGEREF _Toc392513092 \h </w:instrText>
        </w:r>
        <w:r w:rsidRPr="00E83B08">
          <w:rPr>
            <w:szCs w:val="24"/>
            <w:lang w:val="en-US" w:eastAsia="en-US"/>
          </w:rPr>
        </w:r>
        <w:r>
          <w:rPr>
            <w:szCs w:val="24"/>
            <w:lang w:val="en-US" w:eastAsia="en-US"/>
          </w:rPr>
          <w:fldChar w:fldCharType="separate"/>
        </w:r>
        <w:r>
          <w:rPr>
            <w:noProof/>
            <w:szCs w:val="24"/>
            <w:lang w:val="en-US" w:eastAsia="en-US"/>
          </w:rPr>
          <w:t>15</w:t>
        </w:r>
        <w:r>
          <w:rPr>
            <w:szCs w:val="24"/>
            <w:lang w:val="en-US" w:eastAsia="en-US"/>
          </w:rPr>
          <w:fldChar w:fldCharType="end"/>
        </w:r>
      </w:hyperlink>
    </w:p>
    <w:p w:rsidR="00FF6CCE" w:rsidRDefault="00FF6CCE" w:rsidP="00FF6CCE">
      <w:pPr>
        <w:pStyle w:val="TableofFigures"/>
        <w:tabs>
          <w:tab w:val="left" w:pos="1470"/>
          <w:tab w:val="right" w:leader="dot" w:pos="9170"/>
        </w:tabs>
        <w:ind w:left="900" w:hanging="480"/>
        <w:rPr>
          <w:szCs w:val="24"/>
          <w:lang w:val="en-US" w:eastAsia="en-US"/>
        </w:rPr>
      </w:pPr>
      <w:hyperlink w:anchor="_Toc392513093" w:history="1">
        <w:r>
          <w:rPr>
            <w:rStyle w:val="Hyperlink"/>
            <w:rFonts w:ascii="宋体" w:hAnsi="宋体" w:cs="宋体" w:hint="eastAsia"/>
            <w:sz w:val="24"/>
            <w:szCs w:val="24"/>
            <w:lang w:val="en-US" w:eastAsia="en-US"/>
          </w:rPr>
          <w:t>图14.</w:t>
        </w:r>
        <w:r>
          <w:rPr>
            <w:szCs w:val="24"/>
            <w:lang w:val="en-US" w:eastAsia="en-US"/>
          </w:rPr>
          <w:tab/>
        </w:r>
        <w:r>
          <w:rPr>
            <w:rStyle w:val="Hyperlink"/>
            <w:sz w:val="24"/>
            <w:szCs w:val="24"/>
            <w:lang w:val="en-US" w:eastAsia="en-US"/>
          </w:rPr>
          <w:t>NREL</w:t>
        </w:r>
        <w:r>
          <w:rPr>
            <w:rStyle w:val="Hyperlink"/>
            <w:rFonts w:cs="宋体" w:hint="eastAsia"/>
            <w:sz w:val="24"/>
            <w:szCs w:val="24"/>
            <w:lang w:val="en-US" w:eastAsia="en-US"/>
          </w:rPr>
          <w:t>的资金和职员</w:t>
        </w:r>
        <w:r>
          <w:rPr>
            <w:szCs w:val="24"/>
            <w:lang w:val="en-US" w:eastAsia="en-US"/>
          </w:rPr>
          <w:tab/>
        </w:r>
        <w:r>
          <w:rPr>
            <w:szCs w:val="24"/>
            <w:lang w:val="en-US" w:eastAsia="en-US"/>
          </w:rPr>
          <w:fldChar w:fldCharType="begin"/>
        </w:r>
        <w:r>
          <w:rPr>
            <w:szCs w:val="24"/>
            <w:lang w:val="en-US" w:eastAsia="en-US"/>
          </w:rPr>
          <w:instrText xml:space="preserve"> PAGEREF _Toc392513093 \h </w:instrText>
        </w:r>
        <w:r w:rsidRPr="00E83B08">
          <w:rPr>
            <w:szCs w:val="24"/>
            <w:lang w:val="en-US" w:eastAsia="en-US"/>
          </w:rPr>
        </w:r>
        <w:r>
          <w:rPr>
            <w:szCs w:val="24"/>
            <w:lang w:val="en-US" w:eastAsia="en-US"/>
          </w:rPr>
          <w:fldChar w:fldCharType="separate"/>
        </w:r>
        <w:r>
          <w:rPr>
            <w:noProof/>
            <w:szCs w:val="24"/>
            <w:lang w:val="en-US" w:eastAsia="en-US"/>
          </w:rPr>
          <w:t>16</w:t>
        </w:r>
        <w:r>
          <w:rPr>
            <w:szCs w:val="24"/>
            <w:lang w:val="en-US" w:eastAsia="en-US"/>
          </w:rPr>
          <w:fldChar w:fldCharType="end"/>
        </w:r>
      </w:hyperlink>
    </w:p>
    <w:p w:rsidR="00FF6CCE" w:rsidRDefault="00FF6CCE" w:rsidP="00FF6CCE">
      <w:pPr>
        <w:pStyle w:val="TableofFigures"/>
        <w:tabs>
          <w:tab w:val="left" w:pos="1470"/>
          <w:tab w:val="right" w:leader="dot" w:pos="9170"/>
        </w:tabs>
        <w:ind w:left="900" w:hanging="480"/>
        <w:rPr>
          <w:szCs w:val="24"/>
          <w:lang w:val="en-US" w:eastAsia="en-US"/>
        </w:rPr>
      </w:pPr>
      <w:hyperlink w:anchor="_Toc392513094" w:history="1">
        <w:r>
          <w:rPr>
            <w:rStyle w:val="Hyperlink"/>
            <w:rFonts w:ascii="宋体" w:hAnsi="宋体" w:cs="宋体" w:hint="eastAsia"/>
            <w:sz w:val="24"/>
            <w:szCs w:val="24"/>
            <w:lang w:val="en-US" w:eastAsia="en-US"/>
          </w:rPr>
          <w:t>图15.</w:t>
        </w:r>
        <w:r>
          <w:rPr>
            <w:szCs w:val="24"/>
            <w:lang w:val="en-US" w:eastAsia="en-US"/>
          </w:rPr>
          <w:tab/>
        </w:r>
        <w:r>
          <w:rPr>
            <w:rStyle w:val="Hyperlink"/>
            <w:sz w:val="24"/>
            <w:szCs w:val="24"/>
            <w:lang w:val="en-US" w:eastAsia="en-US"/>
          </w:rPr>
          <w:t xml:space="preserve">ARPA-E </w:t>
        </w:r>
        <w:r>
          <w:rPr>
            <w:rStyle w:val="Hyperlink"/>
            <w:rFonts w:cs="宋体" w:hint="eastAsia"/>
            <w:sz w:val="24"/>
            <w:szCs w:val="24"/>
            <w:lang w:val="en-US" w:eastAsia="en-US"/>
          </w:rPr>
          <w:t>的技术加速方法</w:t>
        </w:r>
        <w:r>
          <w:rPr>
            <w:szCs w:val="24"/>
            <w:lang w:val="en-US" w:eastAsia="en-US"/>
          </w:rPr>
          <w:tab/>
        </w:r>
        <w:r>
          <w:rPr>
            <w:szCs w:val="24"/>
            <w:lang w:val="en-US" w:eastAsia="en-US"/>
          </w:rPr>
          <w:fldChar w:fldCharType="begin"/>
        </w:r>
        <w:r>
          <w:rPr>
            <w:szCs w:val="24"/>
            <w:lang w:val="en-US" w:eastAsia="en-US"/>
          </w:rPr>
          <w:instrText xml:space="preserve"> PAGEREF _Toc392513094 \h </w:instrText>
        </w:r>
        <w:r w:rsidRPr="00E83B08">
          <w:rPr>
            <w:szCs w:val="24"/>
            <w:lang w:val="en-US" w:eastAsia="en-US"/>
          </w:rPr>
        </w:r>
        <w:r>
          <w:rPr>
            <w:szCs w:val="24"/>
            <w:lang w:val="en-US" w:eastAsia="en-US"/>
          </w:rPr>
          <w:fldChar w:fldCharType="separate"/>
        </w:r>
        <w:r>
          <w:rPr>
            <w:noProof/>
            <w:szCs w:val="24"/>
            <w:lang w:val="en-US" w:eastAsia="en-US"/>
          </w:rPr>
          <w:t>17</w:t>
        </w:r>
        <w:r>
          <w:rPr>
            <w:szCs w:val="24"/>
            <w:lang w:val="en-US" w:eastAsia="en-US"/>
          </w:rPr>
          <w:fldChar w:fldCharType="end"/>
        </w:r>
      </w:hyperlink>
    </w:p>
    <w:p w:rsidR="00FF6CCE" w:rsidRDefault="00FF6CCE" w:rsidP="00FF6CCE">
      <w:pPr>
        <w:pStyle w:val="TableofFigures"/>
        <w:tabs>
          <w:tab w:val="left" w:pos="1470"/>
          <w:tab w:val="right" w:leader="dot" w:pos="9170"/>
        </w:tabs>
        <w:ind w:left="900" w:hanging="480"/>
        <w:rPr>
          <w:szCs w:val="24"/>
          <w:lang w:val="en-US" w:eastAsia="en-US"/>
        </w:rPr>
      </w:pPr>
      <w:hyperlink w:anchor="_Toc392513095" w:history="1">
        <w:r>
          <w:rPr>
            <w:rStyle w:val="Hyperlink"/>
            <w:rFonts w:ascii="宋体" w:hAnsi="宋体" w:cs="宋体" w:hint="eastAsia"/>
            <w:sz w:val="24"/>
            <w:szCs w:val="24"/>
            <w:lang w:val="en-US" w:eastAsia="en-US"/>
          </w:rPr>
          <w:t>图16.</w:t>
        </w:r>
        <w:r>
          <w:rPr>
            <w:szCs w:val="24"/>
            <w:lang w:val="en-US" w:eastAsia="en-US"/>
          </w:rPr>
          <w:tab/>
        </w:r>
        <w:r>
          <w:rPr>
            <w:rStyle w:val="Hyperlink"/>
            <w:rFonts w:hint="eastAsia"/>
            <w:sz w:val="24"/>
            <w:szCs w:val="24"/>
            <w:lang w:val="en-US" w:eastAsia="en-US"/>
          </w:rPr>
          <w:t>能源前沿研究中心的地点</w:t>
        </w:r>
        <w:r>
          <w:rPr>
            <w:szCs w:val="24"/>
            <w:lang w:val="en-US" w:eastAsia="en-US"/>
          </w:rPr>
          <w:tab/>
        </w:r>
        <w:r>
          <w:rPr>
            <w:szCs w:val="24"/>
            <w:lang w:val="en-US" w:eastAsia="en-US"/>
          </w:rPr>
          <w:fldChar w:fldCharType="begin"/>
        </w:r>
        <w:r>
          <w:rPr>
            <w:szCs w:val="24"/>
            <w:lang w:val="en-US" w:eastAsia="en-US"/>
          </w:rPr>
          <w:instrText xml:space="preserve"> PAGEREF _Toc392513095 \h </w:instrText>
        </w:r>
        <w:r w:rsidRPr="00E83B08">
          <w:rPr>
            <w:szCs w:val="24"/>
            <w:lang w:val="en-US" w:eastAsia="en-US"/>
          </w:rPr>
        </w:r>
        <w:r>
          <w:rPr>
            <w:szCs w:val="24"/>
            <w:lang w:val="en-US" w:eastAsia="en-US"/>
          </w:rPr>
          <w:fldChar w:fldCharType="separate"/>
        </w:r>
        <w:r>
          <w:rPr>
            <w:noProof/>
            <w:szCs w:val="24"/>
            <w:lang w:val="en-US" w:eastAsia="en-US"/>
          </w:rPr>
          <w:t>21</w:t>
        </w:r>
        <w:r>
          <w:rPr>
            <w:szCs w:val="24"/>
            <w:lang w:val="en-US" w:eastAsia="en-US"/>
          </w:rPr>
          <w:fldChar w:fldCharType="end"/>
        </w:r>
      </w:hyperlink>
    </w:p>
    <w:p w:rsidR="00FF6CCE" w:rsidRDefault="00FF6CCE" w:rsidP="00FF6CCE">
      <w:pPr>
        <w:pStyle w:val="TableofFigures"/>
        <w:tabs>
          <w:tab w:val="left" w:pos="1470"/>
          <w:tab w:val="right" w:leader="dot" w:pos="9170"/>
        </w:tabs>
        <w:ind w:left="900" w:hanging="480"/>
        <w:rPr>
          <w:szCs w:val="24"/>
          <w:lang w:val="en-US" w:eastAsia="en-US"/>
        </w:rPr>
      </w:pPr>
      <w:hyperlink w:anchor="_Toc392513096" w:history="1">
        <w:r>
          <w:rPr>
            <w:rStyle w:val="Hyperlink"/>
            <w:rFonts w:ascii="宋体" w:hAnsi="宋体" w:cs="宋体" w:hint="eastAsia"/>
            <w:sz w:val="24"/>
            <w:szCs w:val="24"/>
            <w:lang w:val="en-US" w:eastAsia="en-US"/>
          </w:rPr>
          <w:t>图17.</w:t>
        </w:r>
        <w:r>
          <w:rPr>
            <w:szCs w:val="24"/>
            <w:lang w:val="en-US" w:eastAsia="en-US"/>
          </w:rPr>
          <w:tab/>
        </w:r>
        <w:r>
          <w:rPr>
            <w:rStyle w:val="Hyperlink"/>
            <w:rFonts w:cs="宋体" w:hint="eastAsia"/>
            <w:sz w:val="24"/>
            <w:szCs w:val="24"/>
            <w:lang w:val="en-US" w:eastAsia="en-US"/>
          </w:rPr>
          <w:t>为削减太阳能成本而制订的射日计划</w:t>
        </w:r>
        <w:r>
          <w:rPr>
            <w:szCs w:val="24"/>
            <w:lang w:val="en-US" w:eastAsia="en-US"/>
          </w:rPr>
          <w:tab/>
        </w:r>
        <w:r>
          <w:rPr>
            <w:szCs w:val="24"/>
            <w:lang w:val="en-US" w:eastAsia="en-US"/>
          </w:rPr>
          <w:fldChar w:fldCharType="begin"/>
        </w:r>
        <w:r>
          <w:rPr>
            <w:szCs w:val="24"/>
            <w:lang w:val="en-US" w:eastAsia="en-US"/>
          </w:rPr>
          <w:instrText xml:space="preserve"> PAGEREF _Toc392513096 \h </w:instrText>
        </w:r>
        <w:r w:rsidRPr="00E83B08">
          <w:rPr>
            <w:szCs w:val="24"/>
            <w:lang w:val="en-US" w:eastAsia="en-US"/>
          </w:rPr>
        </w:r>
        <w:r>
          <w:rPr>
            <w:szCs w:val="24"/>
            <w:lang w:val="en-US" w:eastAsia="en-US"/>
          </w:rPr>
          <w:fldChar w:fldCharType="separate"/>
        </w:r>
        <w:r>
          <w:rPr>
            <w:noProof/>
            <w:szCs w:val="24"/>
            <w:lang w:val="en-US" w:eastAsia="en-US"/>
          </w:rPr>
          <w:t>22</w:t>
        </w:r>
        <w:r>
          <w:rPr>
            <w:szCs w:val="24"/>
            <w:lang w:val="en-US" w:eastAsia="en-US"/>
          </w:rPr>
          <w:fldChar w:fldCharType="end"/>
        </w:r>
      </w:hyperlink>
    </w:p>
    <w:p w:rsidR="00FF6CCE" w:rsidRDefault="00FF6CCE" w:rsidP="00FF6CCE">
      <w:pPr>
        <w:pStyle w:val="TableofFigures"/>
        <w:tabs>
          <w:tab w:val="left" w:pos="1470"/>
          <w:tab w:val="right" w:leader="dot" w:pos="9170"/>
        </w:tabs>
        <w:ind w:left="900" w:hanging="480"/>
        <w:rPr>
          <w:szCs w:val="24"/>
          <w:lang w:val="en-US" w:eastAsia="en-US"/>
        </w:rPr>
      </w:pPr>
      <w:hyperlink w:anchor="_Toc392513097" w:history="1">
        <w:r>
          <w:rPr>
            <w:rStyle w:val="Hyperlink"/>
            <w:rFonts w:ascii="宋体" w:hAnsi="宋体" w:cs="宋体" w:hint="eastAsia"/>
            <w:sz w:val="24"/>
            <w:szCs w:val="24"/>
            <w:lang w:val="en-US" w:eastAsia="en-US"/>
          </w:rPr>
          <w:t>图18.</w:t>
        </w:r>
        <w:r>
          <w:rPr>
            <w:szCs w:val="24"/>
            <w:lang w:val="en-US" w:eastAsia="en-US"/>
          </w:rPr>
          <w:tab/>
        </w:r>
        <w:r>
          <w:rPr>
            <w:rStyle w:val="Hyperlink"/>
            <w:rFonts w:cs="宋体" w:hint="eastAsia"/>
            <w:sz w:val="24"/>
            <w:szCs w:val="24"/>
            <w:lang w:val="en-US" w:eastAsia="en-US"/>
          </w:rPr>
          <w:t>按</w:t>
        </w:r>
        <w:r>
          <w:rPr>
            <w:rStyle w:val="Hyperlink"/>
            <w:sz w:val="24"/>
            <w:szCs w:val="24"/>
            <w:lang w:val="en-US" w:eastAsia="en-US"/>
          </w:rPr>
          <w:t>1366</w:t>
        </w:r>
        <w:r>
          <w:rPr>
            <w:rStyle w:val="Hyperlink"/>
            <w:rFonts w:cs="宋体" w:hint="eastAsia"/>
            <w:sz w:val="24"/>
            <w:szCs w:val="24"/>
            <w:lang w:val="en-US" w:eastAsia="en-US"/>
          </w:rPr>
          <w:t>技术计划分类，获得的公共财政资金和私营资</w:t>
        </w:r>
        <w:r>
          <w:rPr>
            <w:szCs w:val="24"/>
            <w:lang w:val="en-US" w:eastAsia="en-US"/>
          </w:rPr>
          <w:tab/>
        </w:r>
        <w:r>
          <w:rPr>
            <w:szCs w:val="24"/>
            <w:lang w:val="en-US" w:eastAsia="en-US"/>
          </w:rPr>
          <w:fldChar w:fldCharType="begin"/>
        </w:r>
        <w:r>
          <w:rPr>
            <w:szCs w:val="24"/>
            <w:lang w:val="en-US" w:eastAsia="en-US"/>
          </w:rPr>
          <w:instrText xml:space="preserve"> PAGEREF _Toc392513097 \h </w:instrText>
        </w:r>
        <w:r w:rsidRPr="00E83B08">
          <w:rPr>
            <w:szCs w:val="24"/>
            <w:lang w:val="en-US" w:eastAsia="en-US"/>
          </w:rPr>
        </w:r>
        <w:r>
          <w:rPr>
            <w:szCs w:val="24"/>
            <w:lang w:val="en-US" w:eastAsia="en-US"/>
          </w:rPr>
          <w:fldChar w:fldCharType="separate"/>
        </w:r>
        <w:r>
          <w:rPr>
            <w:noProof/>
            <w:szCs w:val="24"/>
            <w:lang w:val="en-US" w:eastAsia="en-US"/>
          </w:rPr>
          <w:t>26</w:t>
        </w:r>
        <w:r>
          <w:rPr>
            <w:szCs w:val="24"/>
            <w:lang w:val="en-US" w:eastAsia="en-US"/>
          </w:rPr>
          <w:fldChar w:fldCharType="end"/>
        </w:r>
      </w:hyperlink>
    </w:p>
    <w:p w:rsidR="00FF6CCE" w:rsidRDefault="00FF6CCE" w:rsidP="00FF6CCE">
      <w:pPr>
        <w:pStyle w:val="TableofFigures"/>
        <w:tabs>
          <w:tab w:val="left" w:pos="1470"/>
          <w:tab w:val="right" w:leader="dot" w:pos="9170"/>
        </w:tabs>
        <w:ind w:left="900" w:hanging="480"/>
        <w:rPr>
          <w:szCs w:val="24"/>
          <w:lang w:val="en-US" w:eastAsia="en-US"/>
        </w:rPr>
      </w:pPr>
      <w:hyperlink w:anchor="_Toc392513098" w:history="1">
        <w:r>
          <w:rPr>
            <w:rStyle w:val="Hyperlink"/>
            <w:rFonts w:ascii="宋体" w:hAnsi="宋体" w:cs="宋体" w:hint="eastAsia"/>
            <w:sz w:val="24"/>
            <w:szCs w:val="24"/>
            <w:lang w:val="en-US" w:eastAsia="en-US"/>
          </w:rPr>
          <w:t>图19.</w:t>
        </w:r>
        <w:r>
          <w:rPr>
            <w:szCs w:val="24"/>
            <w:lang w:val="en-US" w:eastAsia="en-US"/>
          </w:rPr>
          <w:tab/>
        </w:r>
        <w:r>
          <w:rPr>
            <w:rStyle w:val="Hyperlink"/>
            <w:rFonts w:cs="宋体" w:hint="eastAsia"/>
            <w:sz w:val="24"/>
            <w:szCs w:val="24"/>
            <w:lang w:val="en-US" w:eastAsia="en-US"/>
          </w:rPr>
          <w:t>美国和中国的国家清洁能源扶持方面的互补性</w:t>
        </w:r>
        <w:r>
          <w:rPr>
            <w:szCs w:val="24"/>
            <w:lang w:val="en-US" w:eastAsia="en-US"/>
          </w:rPr>
          <w:tab/>
        </w:r>
        <w:r>
          <w:rPr>
            <w:szCs w:val="24"/>
            <w:lang w:val="en-US" w:eastAsia="en-US"/>
          </w:rPr>
          <w:fldChar w:fldCharType="begin"/>
        </w:r>
        <w:r>
          <w:rPr>
            <w:szCs w:val="24"/>
            <w:lang w:val="en-US" w:eastAsia="en-US"/>
          </w:rPr>
          <w:instrText xml:space="preserve"> PAGEREF _Toc392513098 \h </w:instrText>
        </w:r>
        <w:r w:rsidRPr="00E83B08">
          <w:rPr>
            <w:szCs w:val="24"/>
            <w:lang w:val="en-US" w:eastAsia="en-US"/>
          </w:rPr>
        </w:r>
        <w:r>
          <w:rPr>
            <w:szCs w:val="24"/>
            <w:lang w:val="en-US" w:eastAsia="en-US"/>
          </w:rPr>
          <w:fldChar w:fldCharType="separate"/>
        </w:r>
        <w:r>
          <w:rPr>
            <w:noProof/>
            <w:szCs w:val="24"/>
            <w:lang w:val="en-US" w:eastAsia="en-US"/>
          </w:rPr>
          <w:t>29</w:t>
        </w:r>
        <w:r>
          <w:rPr>
            <w:szCs w:val="24"/>
            <w:lang w:val="en-US" w:eastAsia="en-US"/>
          </w:rPr>
          <w:fldChar w:fldCharType="end"/>
        </w:r>
      </w:hyperlink>
    </w:p>
    <w:p w:rsidR="00FF6CCE" w:rsidRDefault="00FF6CCE" w:rsidP="00FF6CCE">
      <w:pPr>
        <w:jc w:val="center"/>
        <w:rPr>
          <w:rFonts w:hint="eastAsia"/>
          <w:b/>
          <w:sz w:val="32"/>
          <w:szCs w:val="32"/>
        </w:rPr>
      </w:pPr>
      <w:r>
        <w:rPr>
          <w:b/>
          <w:szCs w:val="24"/>
        </w:rPr>
        <w:fldChar w:fldCharType="end"/>
      </w:r>
    </w:p>
    <w:p w:rsidR="00FF6CCE" w:rsidRDefault="00FF6CCE" w:rsidP="00FF6CCE">
      <w:pPr>
        <w:jc w:val="center"/>
        <w:rPr>
          <w:rFonts w:hint="eastAsia"/>
          <w:b/>
          <w:sz w:val="32"/>
          <w:szCs w:val="32"/>
        </w:rPr>
      </w:pPr>
      <w:r>
        <w:rPr>
          <w:rFonts w:hint="eastAsia"/>
          <w:b/>
          <w:sz w:val="32"/>
          <w:szCs w:val="32"/>
        </w:rPr>
        <w:t>表目录</w:t>
      </w:r>
    </w:p>
    <w:p w:rsidR="00FF6CCE" w:rsidRDefault="00FF6CCE" w:rsidP="00FF6CCE">
      <w:pPr>
        <w:pStyle w:val="TableofFigures"/>
        <w:tabs>
          <w:tab w:val="left" w:pos="1260"/>
          <w:tab w:val="right" w:leader="dot" w:pos="9170"/>
        </w:tabs>
        <w:ind w:left="939" w:hanging="519"/>
        <w:rPr>
          <w:szCs w:val="24"/>
          <w:lang w:val="en-US" w:eastAsia="en-US"/>
        </w:rPr>
      </w:pPr>
      <w:r>
        <w:rPr>
          <w:b/>
          <w:szCs w:val="24"/>
        </w:rPr>
        <w:fldChar w:fldCharType="begin"/>
      </w:r>
      <w:r>
        <w:rPr>
          <w:b/>
          <w:szCs w:val="24"/>
        </w:rPr>
        <w:instrText xml:space="preserve"> </w:instrText>
      </w:r>
      <w:r>
        <w:rPr>
          <w:rFonts w:hint="eastAsia"/>
          <w:b/>
          <w:szCs w:val="24"/>
        </w:rPr>
        <w:instrText>TOC \h \z \t "</w:instrText>
      </w:r>
      <w:r>
        <w:rPr>
          <w:rFonts w:hint="eastAsia"/>
          <w:b/>
          <w:szCs w:val="24"/>
        </w:rPr>
        <w:instrText>表题</w:instrText>
      </w:r>
      <w:r>
        <w:rPr>
          <w:rFonts w:hint="eastAsia"/>
          <w:b/>
          <w:szCs w:val="24"/>
        </w:rPr>
        <w:instrText>" \c "</w:instrText>
      </w:r>
      <w:r>
        <w:rPr>
          <w:rFonts w:hint="eastAsia"/>
          <w:b/>
          <w:szCs w:val="24"/>
        </w:rPr>
        <w:instrText>表</w:instrText>
      </w:r>
      <w:r>
        <w:rPr>
          <w:rFonts w:hint="eastAsia"/>
          <w:b/>
          <w:szCs w:val="24"/>
        </w:rPr>
        <w:instrText>"</w:instrText>
      </w:r>
      <w:r>
        <w:rPr>
          <w:b/>
          <w:szCs w:val="24"/>
        </w:rPr>
        <w:instrText xml:space="preserve"> </w:instrText>
      </w:r>
      <w:r>
        <w:rPr>
          <w:b/>
          <w:szCs w:val="24"/>
        </w:rPr>
        <w:fldChar w:fldCharType="separate"/>
      </w:r>
      <w:hyperlink w:anchor="_Toc392513099" w:history="1">
        <w:r>
          <w:rPr>
            <w:rStyle w:val="Hyperlink"/>
            <w:rFonts w:hint="eastAsia"/>
            <w:sz w:val="24"/>
            <w:szCs w:val="24"/>
            <w:lang w:val="en-US" w:eastAsia="en-US"/>
          </w:rPr>
          <w:t>表</w:t>
        </w:r>
        <w:r>
          <w:rPr>
            <w:rStyle w:val="Hyperlink"/>
            <w:rFonts w:hint="eastAsia"/>
            <w:sz w:val="24"/>
            <w:szCs w:val="24"/>
            <w:lang w:val="en-US" w:eastAsia="en-US"/>
          </w:rPr>
          <w:t>1</w:t>
        </w:r>
        <w:r>
          <w:rPr>
            <w:szCs w:val="24"/>
            <w:lang w:val="en-US" w:eastAsia="en-US"/>
          </w:rPr>
          <w:tab/>
        </w:r>
        <w:r>
          <w:rPr>
            <w:rStyle w:val="Hyperlink"/>
            <w:rFonts w:hint="eastAsia"/>
            <w:sz w:val="24"/>
            <w:szCs w:val="24"/>
            <w:lang w:val="en-US" w:eastAsia="en-US"/>
          </w:rPr>
          <w:t>美国清洁能源技术的研发</w:t>
        </w:r>
        <w:r>
          <w:rPr>
            <w:szCs w:val="24"/>
            <w:lang w:val="en-US" w:eastAsia="en-US"/>
          </w:rPr>
          <w:tab/>
        </w:r>
        <w:r>
          <w:rPr>
            <w:szCs w:val="24"/>
            <w:lang w:val="en-US" w:eastAsia="en-US"/>
          </w:rPr>
          <w:fldChar w:fldCharType="begin"/>
        </w:r>
        <w:r>
          <w:rPr>
            <w:szCs w:val="24"/>
            <w:lang w:val="en-US" w:eastAsia="en-US"/>
          </w:rPr>
          <w:instrText xml:space="preserve"> PAGEREF _Toc392513099 \h </w:instrText>
        </w:r>
        <w:r w:rsidRPr="00E83B08">
          <w:rPr>
            <w:szCs w:val="24"/>
            <w:lang w:val="en-US" w:eastAsia="en-US"/>
          </w:rPr>
        </w:r>
        <w:r>
          <w:rPr>
            <w:szCs w:val="24"/>
            <w:lang w:val="en-US" w:eastAsia="en-US"/>
          </w:rPr>
          <w:fldChar w:fldCharType="separate"/>
        </w:r>
        <w:r>
          <w:rPr>
            <w:noProof/>
            <w:szCs w:val="24"/>
            <w:lang w:val="en-US" w:eastAsia="en-US"/>
          </w:rPr>
          <w:t>6</w:t>
        </w:r>
        <w:r>
          <w:rPr>
            <w:szCs w:val="24"/>
            <w:lang w:val="en-US" w:eastAsia="en-US"/>
          </w:rPr>
          <w:fldChar w:fldCharType="end"/>
        </w:r>
      </w:hyperlink>
    </w:p>
    <w:p w:rsidR="00FF6CCE" w:rsidRDefault="00FF6CCE" w:rsidP="00FF6CCE">
      <w:pPr>
        <w:pStyle w:val="TableofFigures"/>
        <w:tabs>
          <w:tab w:val="left" w:pos="1260"/>
          <w:tab w:val="right" w:leader="dot" w:pos="9170"/>
        </w:tabs>
        <w:ind w:left="900" w:hanging="480"/>
        <w:rPr>
          <w:szCs w:val="24"/>
          <w:lang w:val="en-US" w:eastAsia="en-US"/>
        </w:rPr>
      </w:pPr>
      <w:hyperlink w:anchor="_Toc392513100" w:history="1">
        <w:r>
          <w:rPr>
            <w:rStyle w:val="Hyperlink"/>
            <w:rFonts w:hint="eastAsia"/>
            <w:sz w:val="24"/>
            <w:szCs w:val="24"/>
            <w:lang w:val="en-US" w:eastAsia="en-US"/>
          </w:rPr>
          <w:t>表</w:t>
        </w:r>
        <w:r>
          <w:rPr>
            <w:rStyle w:val="Hyperlink"/>
            <w:rFonts w:hint="eastAsia"/>
            <w:sz w:val="24"/>
            <w:szCs w:val="24"/>
            <w:lang w:val="en-US" w:eastAsia="en-US"/>
          </w:rPr>
          <w:t>2</w:t>
        </w:r>
        <w:r>
          <w:rPr>
            <w:szCs w:val="24"/>
            <w:lang w:val="en-US" w:eastAsia="en-US"/>
          </w:rPr>
          <w:tab/>
        </w:r>
        <w:r>
          <w:rPr>
            <w:rStyle w:val="Hyperlink"/>
            <w:sz w:val="24"/>
            <w:szCs w:val="24"/>
            <w:lang w:val="en-US" w:eastAsia="en-US"/>
          </w:rPr>
          <w:t>ARRA</w:t>
        </w:r>
        <w:r>
          <w:rPr>
            <w:rStyle w:val="Hyperlink"/>
            <w:rFonts w:hint="eastAsia"/>
            <w:sz w:val="24"/>
            <w:szCs w:val="24"/>
            <w:lang w:val="en-US" w:eastAsia="en-US"/>
          </w:rPr>
          <w:t>中清洁能源在技术和机构中的花费（到</w:t>
        </w:r>
        <w:r>
          <w:rPr>
            <w:rStyle w:val="Hyperlink"/>
            <w:sz w:val="24"/>
            <w:szCs w:val="24"/>
            <w:lang w:val="en-US" w:eastAsia="en-US"/>
          </w:rPr>
          <w:t>2009</w:t>
        </w:r>
        <w:r>
          <w:rPr>
            <w:rStyle w:val="Hyperlink"/>
            <w:rFonts w:hint="eastAsia"/>
            <w:sz w:val="24"/>
            <w:szCs w:val="24"/>
            <w:lang w:val="en-US" w:eastAsia="en-US"/>
          </w:rPr>
          <w:t>年止）</w:t>
        </w:r>
        <w:r>
          <w:rPr>
            <w:szCs w:val="24"/>
            <w:lang w:val="en-US" w:eastAsia="en-US"/>
          </w:rPr>
          <w:tab/>
        </w:r>
        <w:r>
          <w:rPr>
            <w:szCs w:val="24"/>
            <w:lang w:val="en-US" w:eastAsia="en-US"/>
          </w:rPr>
          <w:fldChar w:fldCharType="begin"/>
        </w:r>
        <w:r>
          <w:rPr>
            <w:szCs w:val="24"/>
            <w:lang w:val="en-US" w:eastAsia="en-US"/>
          </w:rPr>
          <w:instrText xml:space="preserve"> PAGEREF _Toc392513100 \h </w:instrText>
        </w:r>
        <w:r w:rsidRPr="00E83B08">
          <w:rPr>
            <w:szCs w:val="24"/>
            <w:lang w:val="en-US" w:eastAsia="en-US"/>
          </w:rPr>
        </w:r>
        <w:r>
          <w:rPr>
            <w:szCs w:val="24"/>
            <w:lang w:val="en-US" w:eastAsia="en-US"/>
          </w:rPr>
          <w:fldChar w:fldCharType="separate"/>
        </w:r>
        <w:r>
          <w:rPr>
            <w:noProof/>
            <w:szCs w:val="24"/>
            <w:lang w:val="en-US" w:eastAsia="en-US"/>
          </w:rPr>
          <w:t>10</w:t>
        </w:r>
        <w:r>
          <w:rPr>
            <w:szCs w:val="24"/>
            <w:lang w:val="en-US" w:eastAsia="en-US"/>
          </w:rPr>
          <w:fldChar w:fldCharType="end"/>
        </w:r>
      </w:hyperlink>
    </w:p>
    <w:p w:rsidR="00FF6CCE" w:rsidRDefault="00FF6CCE" w:rsidP="00FF6CCE">
      <w:pPr>
        <w:pStyle w:val="TableofFigures"/>
        <w:tabs>
          <w:tab w:val="left" w:pos="1260"/>
          <w:tab w:val="right" w:leader="dot" w:pos="9170"/>
        </w:tabs>
        <w:ind w:left="900" w:hanging="480"/>
        <w:rPr>
          <w:szCs w:val="24"/>
          <w:lang w:val="en-US" w:eastAsia="en-US"/>
        </w:rPr>
      </w:pPr>
      <w:hyperlink w:anchor="_Toc392513101" w:history="1">
        <w:r>
          <w:rPr>
            <w:rStyle w:val="Hyperlink"/>
            <w:rFonts w:hint="eastAsia"/>
            <w:sz w:val="24"/>
            <w:szCs w:val="24"/>
            <w:lang w:val="en-US" w:eastAsia="en-US"/>
          </w:rPr>
          <w:t>表</w:t>
        </w:r>
        <w:r>
          <w:rPr>
            <w:rStyle w:val="Hyperlink"/>
            <w:rFonts w:hint="eastAsia"/>
            <w:sz w:val="24"/>
            <w:szCs w:val="24"/>
            <w:lang w:val="en-US" w:eastAsia="en-US"/>
          </w:rPr>
          <w:t>3</w:t>
        </w:r>
        <w:r>
          <w:rPr>
            <w:szCs w:val="24"/>
            <w:lang w:val="en-US" w:eastAsia="en-US"/>
          </w:rPr>
          <w:tab/>
        </w:r>
        <w:r>
          <w:rPr>
            <w:rStyle w:val="Hyperlink"/>
            <w:rFonts w:hint="eastAsia"/>
            <w:sz w:val="24"/>
            <w:szCs w:val="24"/>
            <w:lang w:val="en-US" w:eastAsia="en-US"/>
          </w:rPr>
          <w:t>美国对可再生能源的关键扶持政策机制</w:t>
        </w:r>
        <w:r>
          <w:rPr>
            <w:szCs w:val="24"/>
            <w:lang w:val="en-US" w:eastAsia="en-US"/>
          </w:rPr>
          <w:tab/>
        </w:r>
        <w:r>
          <w:rPr>
            <w:szCs w:val="24"/>
            <w:lang w:val="en-US" w:eastAsia="en-US"/>
          </w:rPr>
          <w:fldChar w:fldCharType="begin"/>
        </w:r>
        <w:r>
          <w:rPr>
            <w:szCs w:val="24"/>
            <w:lang w:val="en-US" w:eastAsia="en-US"/>
          </w:rPr>
          <w:instrText xml:space="preserve"> PAGEREF _Toc392513101 \h </w:instrText>
        </w:r>
        <w:r w:rsidRPr="00E83B08">
          <w:rPr>
            <w:szCs w:val="24"/>
            <w:lang w:val="en-US" w:eastAsia="en-US"/>
          </w:rPr>
        </w:r>
        <w:r>
          <w:rPr>
            <w:szCs w:val="24"/>
            <w:lang w:val="en-US" w:eastAsia="en-US"/>
          </w:rPr>
          <w:fldChar w:fldCharType="separate"/>
        </w:r>
        <w:r>
          <w:rPr>
            <w:noProof/>
            <w:szCs w:val="24"/>
            <w:lang w:val="en-US" w:eastAsia="en-US"/>
          </w:rPr>
          <w:t>11</w:t>
        </w:r>
        <w:r>
          <w:rPr>
            <w:szCs w:val="24"/>
            <w:lang w:val="en-US" w:eastAsia="en-US"/>
          </w:rPr>
          <w:fldChar w:fldCharType="end"/>
        </w:r>
      </w:hyperlink>
    </w:p>
    <w:p w:rsidR="00FF6CCE" w:rsidRDefault="00FF6CCE" w:rsidP="00FF6CCE">
      <w:pPr>
        <w:pStyle w:val="TableofFigures"/>
        <w:tabs>
          <w:tab w:val="left" w:pos="1260"/>
          <w:tab w:val="right" w:leader="dot" w:pos="9170"/>
        </w:tabs>
        <w:ind w:left="900" w:hanging="480"/>
        <w:rPr>
          <w:szCs w:val="24"/>
          <w:lang w:val="en-US" w:eastAsia="en-US"/>
        </w:rPr>
      </w:pPr>
      <w:hyperlink w:anchor="_Toc392513102" w:history="1">
        <w:r>
          <w:rPr>
            <w:rStyle w:val="Hyperlink"/>
            <w:rFonts w:hint="eastAsia"/>
            <w:sz w:val="24"/>
            <w:szCs w:val="24"/>
            <w:lang w:val="en-US" w:eastAsia="en-US"/>
          </w:rPr>
          <w:t>表</w:t>
        </w:r>
        <w:r>
          <w:rPr>
            <w:rStyle w:val="Hyperlink"/>
            <w:rFonts w:hint="eastAsia"/>
            <w:sz w:val="24"/>
            <w:szCs w:val="24"/>
            <w:lang w:val="en-US" w:eastAsia="en-US"/>
          </w:rPr>
          <w:t>4</w:t>
        </w:r>
        <w:r>
          <w:rPr>
            <w:szCs w:val="24"/>
            <w:lang w:val="en-US" w:eastAsia="en-US"/>
          </w:rPr>
          <w:tab/>
        </w:r>
        <w:r>
          <w:rPr>
            <w:rStyle w:val="Hyperlink"/>
            <w:rFonts w:hint="eastAsia"/>
            <w:sz w:val="24"/>
            <w:szCs w:val="24"/>
            <w:lang w:val="en-US" w:eastAsia="en-US"/>
          </w:rPr>
          <w:t>美国能源部能源效率和可再生能源预算</w:t>
        </w:r>
        <w:r>
          <w:rPr>
            <w:szCs w:val="24"/>
            <w:lang w:val="en-US" w:eastAsia="en-US"/>
          </w:rPr>
          <w:tab/>
        </w:r>
        <w:r>
          <w:rPr>
            <w:szCs w:val="24"/>
            <w:lang w:val="en-US" w:eastAsia="en-US"/>
          </w:rPr>
          <w:fldChar w:fldCharType="begin"/>
        </w:r>
        <w:r>
          <w:rPr>
            <w:szCs w:val="24"/>
            <w:lang w:val="en-US" w:eastAsia="en-US"/>
          </w:rPr>
          <w:instrText xml:space="preserve"> PAGEREF _Toc392513102 \h </w:instrText>
        </w:r>
        <w:r w:rsidRPr="00E83B08">
          <w:rPr>
            <w:szCs w:val="24"/>
            <w:lang w:val="en-US" w:eastAsia="en-US"/>
          </w:rPr>
        </w:r>
        <w:r>
          <w:rPr>
            <w:szCs w:val="24"/>
            <w:lang w:val="en-US" w:eastAsia="en-US"/>
          </w:rPr>
          <w:fldChar w:fldCharType="separate"/>
        </w:r>
        <w:r>
          <w:rPr>
            <w:noProof/>
            <w:szCs w:val="24"/>
            <w:lang w:val="en-US" w:eastAsia="en-US"/>
          </w:rPr>
          <w:t>14</w:t>
        </w:r>
        <w:r>
          <w:rPr>
            <w:szCs w:val="24"/>
            <w:lang w:val="en-US" w:eastAsia="en-US"/>
          </w:rPr>
          <w:fldChar w:fldCharType="end"/>
        </w:r>
      </w:hyperlink>
    </w:p>
    <w:p w:rsidR="00FF6CCE" w:rsidRDefault="00FF6CCE" w:rsidP="00FF6CCE">
      <w:pPr>
        <w:pStyle w:val="TableofFigures"/>
        <w:tabs>
          <w:tab w:val="left" w:pos="1260"/>
          <w:tab w:val="right" w:leader="dot" w:pos="9170"/>
        </w:tabs>
        <w:ind w:left="900" w:hanging="480"/>
        <w:rPr>
          <w:szCs w:val="24"/>
          <w:lang w:val="en-US" w:eastAsia="en-US"/>
        </w:rPr>
      </w:pPr>
      <w:hyperlink w:anchor="_Toc392513103" w:history="1">
        <w:r>
          <w:rPr>
            <w:rStyle w:val="Hyperlink"/>
            <w:rFonts w:hint="eastAsia"/>
            <w:sz w:val="24"/>
            <w:szCs w:val="24"/>
            <w:lang w:val="en-US" w:eastAsia="en-US"/>
          </w:rPr>
          <w:t>表</w:t>
        </w:r>
        <w:r>
          <w:rPr>
            <w:rStyle w:val="Hyperlink"/>
            <w:rFonts w:hint="eastAsia"/>
            <w:sz w:val="24"/>
            <w:szCs w:val="24"/>
            <w:lang w:val="en-US" w:eastAsia="en-US"/>
          </w:rPr>
          <w:t>5</w:t>
        </w:r>
        <w:r>
          <w:rPr>
            <w:szCs w:val="24"/>
            <w:lang w:val="en-US" w:eastAsia="en-US"/>
          </w:rPr>
          <w:tab/>
        </w:r>
        <w:r>
          <w:rPr>
            <w:rStyle w:val="Hyperlink"/>
            <w:rFonts w:hint="eastAsia"/>
            <w:sz w:val="24"/>
            <w:szCs w:val="24"/>
            <w:lang w:val="en-US" w:eastAsia="en-US"/>
          </w:rPr>
          <w:t>能源部先进计划研究局预算</w:t>
        </w:r>
        <w:r>
          <w:rPr>
            <w:szCs w:val="24"/>
            <w:lang w:val="en-US" w:eastAsia="en-US"/>
          </w:rPr>
          <w:tab/>
        </w:r>
        <w:r>
          <w:rPr>
            <w:szCs w:val="24"/>
            <w:lang w:val="en-US" w:eastAsia="en-US"/>
          </w:rPr>
          <w:fldChar w:fldCharType="begin"/>
        </w:r>
        <w:r>
          <w:rPr>
            <w:szCs w:val="24"/>
            <w:lang w:val="en-US" w:eastAsia="en-US"/>
          </w:rPr>
          <w:instrText xml:space="preserve"> PAGEREF _Toc392513103 \h </w:instrText>
        </w:r>
        <w:r w:rsidRPr="00E83B08">
          <w:rPr>
            <w:szCs w:val="24"/>
            <w:lang w:val="en-US" w:eastAsia="en-US"/>
          </w:rPr>
        </w:r>
        <w:r>
          <w:rPr>
            <w:szCs w:val="24"/>
            <w:lang w:val="en-US" w:eastAsia="en-US"/>
          </w:rPr>
          <w:fldChar w:fldCharType="separate"/>
        </w:r>
        <w:r>
          <w:rPr>
            <w:noProof/>
            <w:szCs w:val="24"/>
            <w:lang w:val="en-US" w:eastAsia="en-US"/>
          </w:rPr>
          <w:t>18</w:t>
        </w:r>
        <w:r>
          <w:rPr>
            <w:szCs w:val="24"/>
            <w:lang w:val="en-US" w:eastAsia="en-US"/>
          </w:rPr>
          <w:fldChar w:fldCharType="end"/>
        </w:r>
      </w:hyperlink>
    </w:p>
    <w:p w:rsidR="00FF6CCE" w:rsidRDefault="00FF6CCE" w:rsidP="00FF6CCE">
      <w:pPr>
        <w:pStyle w:val="TableofFigures"/>
        <w:tabs>
          <w:tab w:val="left" w:pos="1260"/>
          <w:tab w:val="right" w:leader="dot" w:pos="9170"/>
        </w:tabs>
        <w:ind w:left="900" w:hanging="480"/>
        <w:rPr>
          <w:szCs w:val="24"/>
          <w:lang w:val="en-US" w:eastAsia="en-US"/>
        </w:rPr>
      </w:pPr>
      <w:hyperlink w:anchor="_Toc392513104" w:history="1">
        <w:r>
          <w:rPr>
            <w:rStyle w:val="Hyperlink"/>
            <w:rFonts w:hint="eastAsia"/>
            <w:sz w:val="24"/>
            <w:szCs w:val="24"/>
            <w:lang w:val="en-US" w:eastAsia="en-US"/>
          </w:rPr>
          <w:t>表</w:t>
        </w:r>
        <w:r>
          <w:rPr>
            <w:rStyle w:val="Hyperlink"/>
            <w:rFonts w:hint="eastAsia"/>
            <w:sz w:val="24"/>
            <w:szCs w:val="24"/>
            <w:lang w:val="en-US" w:eastAsia="en-US"/>
          </w:rPr>
          <w:t>6</w:t>
        </w:r>
        <w:r>
          <w:rPr>
            <w:szCs w:val="24"/>
            <w:lang w:val="en-US" w:eastAsia="en-US"/>
          </w:rPr>
          <w:tab/>
        </w:r>
        <w:r>
          <w:rPr>
            <w:rStyle w:val="Hyperlink"/>
            <w:rFonts w:hint="eastAsia"/>
            <w:sz w:val="24"/>
            <w:szCs w:val="24"/>
            <w:lang w:val="en-US" w:eastAsia="en-US"/>
          </w:rPr>
          <w:t>获得美国能源部</w:t>
        </w:r>
        <w:r>
          <w:rPr>
            <w:rStyle w:val="Hyperlink"/>
            <w:sz w:val="24"/>
            <w:szCs w:val="24"/>
            <w:lang w:val="en-US" w:eastAsia="en-US"/>
          </w:rPr>
          <w:t>1705</w:t>
        </w:r>
        <w:r>
          <w:rPr>
            <w:rStyle w:val="Hyperlink"/>
            <w:rFonts w:hint="eastAsia"/>
            <w:sz w:val="24"/>
            <w:szCs w:val="24"/>
            <w:lang w:val="en-US" w:eastAsia="en-US"/>
          </w:rPr>
          <w:t>计划贷款担保的项目</w:t>
        </w:r>
        <w:r>
          <w:rPr>
            <w:szCs w:val="24"/>
            <w:lang w:val="en-US" w:eastAsia="en-US"/>
          </w:rPr>
          <w:tab/>
        </w:r>
        <w:r>
          <w:rPr>
            <w:szCs w:val="24"/>
            <w:lang w:val="en-US" w:eastAsia="en-US"/>
          </w:rPr>
          <w:fldChar w:fldCharType="begin"/>
        </w:r>
        <w:r>
          <w:rPr>
            <w:szCs w:val="24"/>
            <w:lang w:val="en-US" w:eastAsia="en-US"/>
          </w:rPr>
          <w:instrText xml:space="preserve"> PAGEREF _Toc392513104 \h </w:instrText>
        </w:r>
        <w:r w:rsidRPr="00E83B08">
          <w:rPr>
            <w:szCs w:val="24"/>
            <w:lang w:val="en-US" w:eastAsia="en-US"/>
          </w:rPr>
        </w:r>
        <w:r>
          <w:rPr>
            <w:szCs w:val="24"/>
            <w:lang w:val="en-US" w:eastAsia="en-US"/>
          </w:rPr>
          <w:fldChar w:fldCharType="separate"/>
        </w:r>
        <w:r>
          <w:rPr>
            <w:noProof/>
            <w:szCs w:val="24"/>
            <w:lang w:val="en-US" w:eastAsia="en-US"/>
          </w:rPr>
          <w:t>18</w:t>
        </w:r>
        <w:r>
          <w:rPr>
            <w:szCs w:val="24"/>
            <w:lang w:val="en-US" w:eastAsia="en-US"/>
          </w:rPr>
          <w:fldChar w:fldCharType="end"/>
        </w:r>
      </w:hyperlink>
    </w:p>
    <w:p w:rsidR="00FF6CCE" w:rsidRDefault="00FF6CCE" w:rsidP="00FF6CCE">
      <w:pPr>
        <w:jc w:val="center"/>
        <w:rPr>
          <w:rFonts w:hint="eastAsia"/>
          <w:b/>
          <w:sz w:val="32"/>
          <w:szCs w:val="32"/>
        </w:rPr>
        <w:sectPr w:rsidR="00FF6CCE">
          <w:footerReference w:type="default" r:id="rId52"/>
          <w:pgSz w:w="11906" w:h="16838"/>
          <w:pgMar w:top="1091" w:right="1286" w:bottom="1090" w:left="1440" w:header="851" w:footer="992" w:gutter="0"/>
          <w:pgNumType w:start="1"/>
          <w:cols w:space="720"/>
          <w:docGrid w:type="lines" w:linePitch="312"/>
        </w:sectPr>
      </w:pPr>
      <w:r>
        <w:rPr>
          <w:b/>
          <w:szCs w:val="24"/>
        </w:rPr>
        <w:fldChar w:fldCharType="end"/>
      </w:r>
    </w:p>
    <w:p w:rsidR="00FF6CCE" w:rsidRDefault="00FF6CCE" w:rsidP="00FF6CCE">
      <w:pPr>
        <w:jc w:val="center"/>
        <w:rPr>
          <w:rFonts w:hint="eastAsia"/>
          <w:b/>
          <w:sz w:val="32"/>
          <w:szCs w:val="32"/>
        </w:rPr>
      </w:pPr>
      <w:r>
        <w:rPr>
          <w:rFonts w:hint="eastAsia"/>
          <w:b/>
          <w:sz w:val="32"/>
          <w:szCs w:val="32"/>
        </w:rPr>
        <w:t>美国支持清洁能源创新的举措</w:t>
      </w:r>
    </w:p>
    <w:p w:rsidR="00FF6CCE" w:rsidRDefault="00FF6CCE" w:rsidP="00FF6CCE">
      <w:pPr>
        <w:ind w:firstLine="693"/>
        <w:rPr>
          <w:rFonts w:hint="eastAsia"/>
        </w:rPr>
      </w:pPr>
      <w:r>
        <w:rPr>
          <w:rFonts w:hint="eastAsia"/>
          <w:b/>
          <w:sz w:val="32"/>
          <w:szCs w:val="32"/>
        </w:rPr>
        <w:t>——美国清洁能源创新体系及其对中国的借鉴意义</w:t>
      </w:r>
    </w:p>
    <w:p w:rsidR="00FF6CCE" w:rsidRDefault="00FF6CCE" w:rsidP="00FF6CCE">
      <w:pPr>
        <w:ind w:firstLine="480"/>
        <w:rPr>
          <w:rFonts w:hint="eastAsia"/>
        </w:rPr>
      </w:pPr>
    </w:p>
    <w:p w:rsidR="00FF6CCE" w:rsidRDefault="00FF6CCE" w:rsidP="00FF6CCE">
      <w:pPr>
        <w:ind w:firstLine="480"/>
        <w:rPr>
          <w:rFonts w:hint="eastAsia"/>
        </w:rPr>
      </w:pPr>
    </w:p>
    <w:p w:rsidR="00FF6CCE" w:rsidRDefault="00FF6CCE" w:rsidP="00FF6CCE">
      <w:pPr>
        <w:pStyle w:val="Heading1"/>
        <w:numPr>
          <w:ilvl w:val="0"/>
          <w:numId w:val="12"/>
        </w:numPr>
        <w:tabs>
          <w:tab w:val="left" w:pos="432"/>
        </w:tabs>
      </w:pPr>
      <w:bookmarkStart w:id="207" w:name="_Toc32319"/>
      <w:bookmarkStart w:id="208" w:name="_Toc30758"/>
      <w:bookmarkStart w:id="209" w:name="_Toc392057044"/>
      <w:bookmarkStart w:id="210" w:name="_Toc392513018"/>
      <w:r>
        <w:rPr>
          <w:rFonts w:hint="eastAsia"/>
        </w:rPr>
        <w:t>前言</w:t>
      </w:r>
      <w:bookmarkEnd w:id="207"/>
      <w:bookmarkEnd w:id="208"/>
      <w:bookmarkEnd w:id="209"/>
      <w:bookmarkEnd w:id="210"/>
    </w:p>
    <w:p w:rsidR="00FF6CCE" w:rsidRDefault="00FF6CCE" w:rsidP="00FF6CCE">
      <w:pPr>
        <w:ind w:firstLine="480"/>
      </w:pPr>
      <w:r>
        <w:rPr>
          <w:rFonts w:hint="eastAsia"/>
        </w:rPr>
        <w:t>全球很多国家的政府都正在推进可再生能源的利用，开发可再生能源技术产业。尽管各国用于扶持本国的可再生能源技术开发的政策有所不同，但新技术的开发，以及将新技术用于示范和集中应用是公共财政扶持的能源研究、开发、和示范计划的关键组成部分。总体而言，不论是经济合作与发展组织的国家还是许多新兴经济体国家，政府在能源研究、开发和示范方面的投资额一直都在增加，然而，如何分配和实施该等与创新有关的计划则因各国的具体情况而差异巨大。</w:t>
      </w:r>
    </w:p>
    <w:p w:rsidR="00FF6CCE" w:rsidRDefault="00FF6CCE" w:rsidP="00FF6CCE">
      <w:pPr>
        <w:ind w:firstLine="480"/>
      </w:pPr>
      <w:r>
        <w:rPr>
          <w:rFonts w:hint="eastAsia"/>
        </w:rPr>
        <w:t>该等国家在产生商业技术提供者方面所取得的成功数量的多寡常被归因于新兴公司的运营所依赖的国家创新体系的差异。包含“国家</w:t>
      </w:r>
      <w:r>
        <w:t>-</w:t>
      </w:r>
      <w:r>
        <w:rPr>
          <w:rFonts w:hint="eastAsia"/>
        </w:rPr>
        <w:t>产业创新复合体”在内的国家创新体系包括“对研发提供资金并开展研发的公共和私营机构的网络、将研发成果变为商业创新、并对新技术加以推广”，并受到本国政策及鼓励创新活动的其它因素的影响。</w:t>
      </w:r>
      <w:r>
        <w:t xml:space="preserve"> </w:t>
      </w:r>
      <w:r>
        <w:rPr>
          <w:rFonts w:hint="eastAsia"/>
        </w:rPr>
        <w:t>对国家创新体系进行的研究强调了发达国家与发展中国家之间以及属于该等内容广泛的范畴内的各个国家之间的差异，或按照区域特点来加以区分，而在亚洲后工业化的国家之间，该区域特点在创新模式上又具有某些相似之处。</w:t>
      </w:r>
      <w:r>
        <w:t xml:space="preserve"> </w:t>
      </w:r>
      <w:r>
        <w:rPr>
          <w:rFonts w:hint="eastAsia"/>
        </w:rPr>
        <w:t>此外，机构性范畴如“研究院”、“所”、或“政府”的含义及该等机构在不同的国家或行业开展的活动范围也会存在巨大差异。以中国为例，公共机构和私营机构之间以及某一机构进行的活动类型会与那些不受中央计划控制的经济实体的活动类型之间的差异巨大。此外，在全球经营的跨国公司的崛起已经通过全球的技术革新而创造了新的创新模式。</w:t>
      </w:r>
    </w:p>
    <w:p w:rsidR="00FF6CCE" w:rsidRDefault="00FF6CCE" w:rsidP="00FF6CCE">
      <w:pPr>
        <w:ind w:firstLine="480"/>
      </w:pPr>
      <w:r>
        <w:rPr>
          <w:rFonts w:hint="eastAsia"/>
        </w:rPr>
        <w:t>作为最大的能源消费国和温室气体排放国，美国和中国是开展清洁能源的最重要的国家。本文回顾美国清洁能源创新体系中的关键因素和参与者，目的是理清中国的政策制定者可能感兴趣的成功范例和失败案例，以便为中国的政策制定者在修改和扩大其自己的扶持清洁能源技术创新的国家体系时提供参考。本文回顾了美国的清洁能源技术扶持情况、详细说明了机构性参与者、资金流向及政策性扶持措施，以便确定谁在执行、谁在为清洁能源的研究、开发和示范提供资金，及清洁能源技术创新是如何通过具体的政府资助项目以及通过学术机构与行内企业的合作而得到刺激。</w:t>
      </w:r>
      <w:r>
        <w:t xml:space="preserve"> </w:t>
      </w:r>
      <w:r>
        <w:rPr>
          <w:rFonts w:hint="eastAsia"/>
        </w:rPr>
        <w:t>这个对机构、参与者及资金流向进行自上而下的分析在后来与由几家院所对政府扶持清洁能源创新的显著案例进行的案例分析结合在一起，并分析了对该等案例的成功与失败产生影响的因素。</w:t>
      </w:r>
    </w:p>
    <w:p w:rsidR="00FF6CCE" w:rsidRDefault="00FF6CCE" w:rsidP="00FF6CCE">
      <w:pPr>
        <w:ind w:firstLine="480"/>
      </w:pPr>
      <w:r>
        <w:rPr>
          <w:rFonts w:hint="eastAsia"/>
        </w:rPr>
        <w:t>本文对美国近十年来在清洁能源创新项目上得到的一些教训进行分析，做出总结，同时也提供了一些能使中国在创新过程中的各个阶段更好地扶持清洁能源的建议。本文也对更好地完善那些能够通过两国各自的优势而开展的联合创新提出了一些设想。由于中国的政策制订者注重进一步加强中国的国家清洁能源创新体系的创新端，美国的早期扶持及转型能源技术提供了一个可能的模式。同样，由于美国致力于将新技术投入市场，与中国在技术示范方面的合作也可以为他们带来利益。</w:t>
      </w:r>
    </w:p>
    <w:p w:rsidR="00FF6CCE" w:rsidRDefault="00FF6CCE" w:rsidP="00FF6CCE">
      <w:pPr>
        <w:pStyle w:val="Heading1"/>
        <w:tabs>
          <w:tab w:val="clear" w:pos="432"/>
        </w:tabs>
        <w:rPr>
          <w:szCs w:val="24"/>
        </w:rPr>
      </w:pPr>
      <w:bookmarkStart w:id="211" w:name="_Toc2917"/>
      <w:bookmarkStart w:id="212" w:name="_Toc15398"/>
      <w:bookmarkStart w:id="213" w:name="_Toc392057045"/>
      <w:bookmarkStart w:id="214" w:name="_Toc392513019"/>
      <w:r>
        <w:rPr>
          <w:rFonts w:hint="eastAsia"/>
        </w:rPr>
        <w:t>扶持清洁能源的</w:t>
      </w:r>
      <w:bookmarkEnd w:id="211"/>
      <w:bookmarkEnd w:id="212"/>
      <w:r>
        <w:rPr>
          <w:rFonts w:hint="eastAsia"/>
        </w:rPr>
        <w:t>根本原因</w:t>
      </w:r>
      <w:bookmarkEnd w:id="213"/>
      <w:bookmarkEnd w:id="214"/>
    </w:p>
    <w:p w:rsidR="00FF6CCE" w:rsidRDefault="00FF6CCE" w:rsidP="00FF6CCE">
      <w:pPr>
        <w:ind w:firstLine="480"/>
      </w:pPr>
      <w:r>
        <w:rPr>
          <w:rFonts w:hint="eastAsia"/>
        </w:rPr>
        <w:t>清洁能源技术事实上是由一系列不同技术领域构成。不仅将自然界发现的初级能源形式（如阳光或煤炭）转化成直接能源服务（如提供热能）或二次型式（如电力或汽油）的技术形式多种多样，而且还有许多将该等能源型式配送给用户的技术（即，灯泡或冰箱）。能源供应技术将能源形式提供到最终使用的某一点，而能源终端使用技术在该点上得以应用，以便将某种能源型式转换成服务。</w:t>
      </w:r>
      <w:r>
        <w:t xml:space="preserve"> </w:t>
      </w:r>
      <w:r>
        <w:rPr>
          <w:rFonts w:hint="eastAsia"/>
        </w:rPr>
        <w:t>此外，一项能源技术并非仅仅是硬件技术，而且还是软件技术、实践以及与该技术的使用有关的知识。</w:t>
      </w:r>
    </w:p>
    <w:p w:rsidR="00FF6CCE" w:rsidRDefault="00FF6CCE" w:rsidP="00FF6CCE">
      <w:pPr>
        <w:ind w:firstLine="480"/>
      </w:pPr>
      <w:r>
        <w:rPr>
          <w:rFonts w:hint="eastAsia"/>
        </w:rPr>
        <w:t>清洁能源技术也涉及到技术开发的各个阶段，从研究和开发阶段（如下一代生物燃料或高效太阳能光伏板）到示范阶段（如综合性气化联合循环（</w:t>
      </w:r>
      <w:r>
        <w:t>IGCC</w:t>
      </w:r>
      <w:r>
        <w:rPr>
          <w:rFonts w:hint="eastAsia"/>
        </w:rPr>
        <w:t>）燃煤电站），到商业运营阶段（如风机和多晶硅光伏太阳能组件）。</w:t>
      </w:r>
      <w:r>
        <w:t xml:space="preserve"> </w:t>
      </w:r>
      <w:r>
        <w:rPr>
          <w:rFonts w:hint="eastAsia"/>
        </w:rPr>
        <w:t>清洁能源技术同样有不同的来源。例如，太阳能电池创新是源自卫星和半导体行业的研发，现代化的风机创新则源自太空、造船和农业方面的研发。因领域</w:t>
      </w:r>
      <w:r>
        <w:t xml:space="preserve"> </w:t>
      </w:r>
      <w:r>
        <w:rPr>
          <w:rFonts w:hint="eastAsia"/>
        </w:rPr>
        <w:t>、市场和技术的多样性，推动清洁能源创新和应用的政策也应该灵活，并考虑到研究中的单项技术或多项技术的具体特点。</w:t>
      </w:r>
    </w:p>
    <w:p w:rsidR="00FF6CCE" w:rsidRDefault="00FF6CCE" w:rsidP="00FF6CCE">
      <w:pPr>
        <w:ind w:firstLine="480"/>
        <w:rPr>
          <w:color w:val="000000"/>
        </w:rPr>
      </w:pPr>
      <w:r>
        <w:rPr>
          <w:rFonts w:hint="eastAsia"/>
        </w:rPr>
        <w:t>由于成本结构里通常不包含温室气体减排的社会效益，开展于社会有益的技术通常在经济上是无利可图的。和许多其它型式的技术一样，清洁能源技术也要求大量的研发投资，并且在早期开发阶段就对投资者构成高风险。然而，与其它许多技术不同的是，因现行的化石燃料的定价机制抑制对低碳技术的需求，进行投资的公司无法得到投资于研发而带来的好处。其结果是极大地抑制了对清洁能源技术的投资。通过补贴或其它型式的公共扶持，政策工具可以被用来调整有关价格，以鼓励采用替代能源技术。由于商业应用阶段之前的技术缺乏市场价值，政策制定者必须同时考虑示范项目的功能，并创造早期采用方。为使市场讯号能够导致低碳能源技术以一种符合</w:t>
      </w:r>
      <w:r>
        <w:t>G8+5</w:t>
      </w:r>
      <w:r>
        <w:rPr>
          <w:rFonts w:hint="eastAsia"/>
        </w:rPr>
        <w:t>国家的国家科研机构所倡导的碳减排规模所需的速度部署，必须对碳制定内部价格，这个价格的大小对公司战略和商业模型具有深远的影响。上述讨论的因素对技术创新提出了一种非常不同的范例，而且清洁能源领域需要比其它行业领域聘用更多的部署。</w:t>
      </w:r>
    </w:p>
    <w:p w:rsidR="00FF6CCE" w:rsidRDefault="00FF6CCE" w:rsidP="00FF6CCE">
      <w:pPr>
        <w:pStyle w:val="Heading1"/>
        <w:tabs>
          <w:tab w:val="clear" w:pos="432"/>
        </w:tabs>
      </w:pPr>
      <w:bookmarkStart w:id="215" w:name="_Toc1121"/>
      <w:bookmarkStart w:id="216" w:name="_Toc239"/>
      <w:bookmarkStart w:id="217" w:name="_Toc392057046"/>
      <w:bookmarkStart w:id="218" w:name="_Toc392513020"/>
      <w:r>
        <w:rPr>
          <w:rFonts w:hint="eastAsia"/>
        </w:rPr>
        <w:t>美国清洁能源扶持体系：投资、专利申请和政策</w:t>
      </w:r>
      <w:bookmarkEnd w:id="215"/>
      <w:bookmarkEnd w:id="216"/>
      <w:bookmarkEnd w:id="217"/>
      <w:bookmarkEnd w:id="218"/>
    </w:p>
    <w:p w:rsidR="00FF6CCE" w:rsidRDefault="00FF6CCE" w:rsidP="00FF6CCE">
      <w:pPr>
        <w:ind w:firstLine="480"/>
      </w:pPr>
      <w:r>
        <w:rPr>
          <w:rFonts w:cs="宋体" w:hint="eastAsia"/>
        </w:rPr>
        <w:t>从研究、发展和示范方面的投资额，对创新进行投入、申请专利、创新活动产出来看，美国是世界上较注重创新经济的国家之一。当然，并非所有研发示范投资都能产生出有结果的创新，而且并非所有发明都能申请到专利。此外，申请专利的倾向因行业和技术领域而不同，而且在价值和目的方面差异巨大。考虑到这些因素，该等指标仍能对一个国家的创新活动提供有用的衡量指标，该等指标在本章中予以探讨。</w:t>
      </w:r>
    </w:p>
    <w:p w:rsidR="00FF6CCE" w:rsidRDefault="00FF6CCE" w:rsidP="00FF6CCE">
      <w:pPr>
        <w:pStyle w:val="Heading2"/>
      </w:pPr>
      <w:bookmarkStart w:id="219" w:name="_Toc31381"/>
      <w:bookmarkStart w:id="220" w:name="_Toc23012"/>
      <w:bookmarkStart w:id="221" w:name="_Toc392057047"/>
      <w:bookmarkStart w:id="222" w:name="_Toc392513021"/>
      <w:r>
        <w:rPr>
          <w:rFonts w:hint="eastAsia"/>
        </w:rPr>
        <w:t>一般性投资和专利趋势</w:t>
      </w:r>
      <w:bookmarkEnd w:id="219"/>
      <w:bookmarkEnd w:id="220"/>
      <w:bookmarkEnd w:id="221"/>
      <w:bookmarkEnd w:id="222"/>
    </w:p>
    <w:p w:rsidR="00FF6CCE" w:rsidRDefault="00FF6CCE" w:rsidP="00FF6CCE">
      <w:pPr>
        <w:ind w:firstLine="480"/>
        <w:rPr>
          <w:rFonts w:hint="eastAsia"/>
        </w:rPr>
      </w:pPr>
      <w:r>
        <w:rPr>
          <w:rFonts w:hint="eastAsia"/>
        </w:rPr>
        <w:t>在美国的专利体系里，由美国专利和商标局向美国本土发明人授予的专利比例近来已经有所下降。美国公司拥有美国专利和商标局于</w:t>
      </w:r>
      <w:r>
        <w:t>2003</w:t>
      </w:r>
      <w:r>
        <w:rPr>
          <w:rFonts w:hint="eastAsia"/>
        </w:rPr>
        <w:t>年授予的专利总数的</w:t>
      </w:r>
      <w:r>
        <w:t>53%</w:t>
      </w:r>
      <w:r>
        <w:rPr>
          <w:rFonts w:hint="eastAsia"/>
        </w:rPr>
        <w:t>，而该比例在</w:t>
      </w:r>
      <w:r>
        <w:t>2012</w:t>
      </w:r>
      <w:r>
        <w:rPr>
          <w:rFonts w:hint="eastAsia"/>
        </w:rPr>
        <w:t>年仅为</w:t>
      </w:r>
      <w:r>
        <w:t>48%</w:t>
      </w:r>
      <w:r>
        <w:rPr>
          <w:rFonts w:hint="eastAsia"/>
        </w:rPr>
        <w:t>。在美国申请专利的来自韩国和台湾的发明人的数量增加，反映出亚洲的创新型公司数量在增加，以及朝向全球化的范围更广的趋势，使得在外国保护专利变得更加重要。美国发明人也是日本和欧盟专利体系里的关键专利申请人，其拥有的专利数量与欧盟和日本公司的数量相当。</w:t>
      </w:r>
    </w:p>
    <w:p w:rsidR="00FF6CCE" w:rsidRDefault="00FF6CCE" w:rsidP="00FF6CCE">
      <w:pPr>
        <w:ind w:firstLine="480"/>
      </w:pPr>
      <w:r>
        <w:rPr>
          <w:rFonts w:hint="eastAsia"/>
        </w:rPr>
        <w:t>全球范围内在清洁能源领域里的公共研究、开发和示范的投资主要来自美国和日本。根据美国复苏与再投资法案提供的刺激和创立，在美国，清洁能源研发示范的支出由</w:t>
      </w:r>
      <w:r>
        <w:t>2004</w:t>
      </w:r>
      <w:r>
        <w:rPr>
          <w:rFonts w:hint="eastAsia"/>
        </w:rPr>
        <w:t>年的</w:t>
      </w:r>
      <w:r>
        <w:t>15</w:t>
      </w:r>
      <w:r>
        <w:rPr>
          <w:rFonts w:hint="eastAsia"/>
        </w:rPr>
        <w:t>亿美元增加到</w:t>
      </w:r>
      <w:r>
        <w:t>2009</w:t>
      </w:r>
      <w:r>
        <w:rPr>
          <w:rFonts w:hint="eastAsia"/>
        </w:rPr>
        <w:t>年的</w:t>
      </w:r>
      <w:r>
        <w:t>70</w:t>
      </w:r>
      <w:r>
        <w:rPr>
          <w:rFonts w:hint="eastAsia"/>
        </w:rPr>
        <w:t>亿美元。到</w:t>
      </w:r>
      <w:r>
        <w:t>2011</w:t>
      </w:r>
      <w:r>
        <w:rPr>
          <w:rFonts w:hint="eastAsia"/>
        </w:rPr>
        <w:t>年，美国的研发示范资金额下降，但仍为相当高，达</w:t>
      </w:r>
      <w:r>
        <w:t>40</w:t>
      </w:r>
      <w:r>
        <w:rPr>
          <w:rFonts w:hint="eastAsia"/>
        </w:rPr>
        <w:t>亿美元。</w:t>
      </w:r>
    </w:p>
    <w:p w:rsidR="00FF6CCE" w:rsidRDefault="00FF6CCE" w:rsidP="00FF6CCE">
      <w:pPr>
        <w:ind w:firstLine="480"/>
      </w:pPr>
      <w:r>
        <w:rPr>
          <w:rFonts w:hint="eastAsia"/>
        </w:rPr>
        <w:t>美国是最大的技术输出转让以赚取提成和费用的国家，</w:t>
      </w:r>
      <w:r>
        <w:t>2012</w:t>
      </w:r>
      <w:r>
        <w:rPr>
          <w:rFonts w:hint="eastAsia"/>
        </w:rPr>
        <w:t>年该等交易总额达到</w:t>
      </w:r>
      <w:r>
        <w:t>920</w:t>
      </w:r>
      <w:r>
        <w:rPr>
          <w:rFonts w:hint="eastAsia"/>
        </w:rPr>
        <w:t>亿美元。事实上，美国在该领域里的“大而增长”的贸易出超之大，以致有人提出“美国在知识产权交易方面较其它国家拥有比较优势。”</w:t>
      </w:r>
      <w:r>
        <w:t xml:space="preserve"> </w:t>
      </w:r>
      <w:r>
        <w:rPr>
          <w:rFonts w:hint="eastAsia"/>
        </w:rPr>
        <w:t>相比之下，欧盟是第二大出口方，但在费用和提成方面的交易有贸易赤字，而日本则是第三大交易国，和美国一样，拥有巨大的贸易出超。</w:t>
      </w:r>
    </w:p>
    <w:p w:rsidR="00FF6CCE" w:rsidRDefault="00FF6CCE" w:rsidP="00FF6CCE">
      <w:pPr>
        <w:ind w:firstLine="480"/>
      </w:pPr>
      <w:r>
        <w:rPr>
          <w:rFonts w:hint="eastAsia"/>
        </w:rPr>
        <w:t>在风险资本投资领域，美国在全球的作用也是主导性的。在</w:t>
      </w:r>
      <w:r>
        <w:t>2011</w:t>
      </w:r>
      <w:r>
        <w:rPr>
          <w:rFonts w:hint="eastAsia"/>
        </w:rPr>
        <w:t>年，约</w:t>
      </w:r>
      <w:r>
        <w:t>70%</w:t>
      </w:r>
      <w:r>
        <w:rPr>
          <w:rFonts w:hint="eastAsia"/>
        </w:rPr>
        <w:t>的全球风投资金投向美国本土的投资。中国和欧盟处于第二位，在该年度得到的投资额约为</w:t>
      </w:r>
      <w:r>
        <w:t xml:space="preserve"> 60 </w:t>
      </w:r>
      <w:r>
        <w:rPr>
          <w:rFonts w:hint="eastAsia"/>
        </w:rPr>
        <w:t>亿美元，印度获得了</w:t>
      </w:r>
      <w:r>
        <w:t>20</w:t>
      </w:r>
      <w:r>
        <w:rPr>
          <w:rFonts w:hint="eastAsia"/>
        </w:rPr>
        <w:t>亿美元。</w:t>
      </w:r>
      <w:r>
        <w:t xml:space="preserve"> </w:t>
      </w:r>
      <w:r>
        <w:rPr>
          <w:rFonts w:hint="eastAsia"/>
        </w:rPr>
        <w:t>美国以外进行的多数风投资金来源于美国的风投公司。</w:t>
      </w:r>
    </w:p>
    <w:p w:rsidR="00FF6CCE" w:rsidRDefault="00FF6CCE" w:rsidP="00FF6CCE">
      <w:pPr>
        <w:pStyle w:val="Heading2"/>
      </w:pPr>
      <w:bookmarkStart w:id="223" w:name="_Toc27957"/>
      <w:bookmarkStart w:id="224" w:name="_Toc3079"/>
      <w:bookmarkStart w:id="225" w:name="_Toc392057048"/>
      <w:bookmarkStart w:id="226" w:name="_Toc392513022"/>
      <w:r>
        <w:rPr>
          <w:rFonts w:hint="eastAsia"/>
        </w:rPr>
        <w:t>全球环境下的美国清洁能源投资及创新</w:t>
      </w:r>
      <w:bookmarkEnd w:id="223"/>
      <w:bookmarkEnd w:id="224"/>
      <w:bookmarkEnd w:id="225"/>
      <w:bookmarkEnd w:id="226"/>
    </w:p>
    <w:p w:rsidR="00FF6CCE" w:rsidRDefault="00FF6CCE" w:rsidP="00FF6CCE">
      <w:pPr>
        <w:ind w:firstLine="480"/>
      </w:pPr>
      <w:r>
        <w:rPr>
          <w:rFonts w:hint="eastAsia"/>
        </w:rPr>
        <w:t>衡量创新活动的指标包括在研发和示范领域里，或者说在发展阶段，以投资形式体现的对创新活动进行的投入，以及以专利申请型式体现的产出。</w:t>
      </w:r>
    </w:p>
    <w:p w:rsidR="00FF6CCE" w:rsidRDefault="00FF6CCE" w:rsidP="00FF6CCE">
      <w:pPr>
        <w:pStyle w:val="Heading3"/>
        <w:numPr>
          <w:ilvl w:val="2"/>
          <w:numId w:val="1"/>
        </w:numPr>
        <w:tabs>
          <w:tab w:val="clear" w:pos="720"/>
        </w:tabs>
      </w:pPr>
      <w:bookmarkStart w:id="227" w:name="_Toc27535"/>
      <w:bookmarkStart w:id="228" w:name="_Toc26061"/>
      <w:bookmarkStart w:id="229" w:name="_Toc392057049"/>
      <w:bookmarkStart w:id="230" w:name="_Toc392513023"/>
      <w:r>
        <w:rPr>
          <w:rFonts w:hint="eastAsia"/>
        </w:rPr>
        <w:t>投资和补贴</w:t>
      </w:r>
      <w:bookmarkEnd w:id="227"/>
      <w:bookmarkEnd w:id="228"/>
      <w:bookmarkEnd w:id="229"/>
      <w:bookmarkEnd w:id="230"/>
    </w:p>
    <w:p w:rsidR="00FF6CCE" w:rsidRDefault="00FF6CCE" w:rsidP="00FF6CCE">
      <w:pPr>
        <w:ind w:firstLine="480"/>
        <w:rPr>
          <w:rFonts w:hint="eastAsia"/>
        </w:rPr>
      </w:pPr>
      <w:r>
        <w:rPr>
          <w:rFonts w:cs="宋体" w:hint="eastAsia"/>
        </w:rPr>
        <w:t>在</w:t>
      </w:r>
      <w:r>
        <w:t>2012</w:t>
      </w:r>
      <w:r>
        <w:rPr>
          <w:rFonts w:cs="宋体" w:hint="eastAsia"/>
        </w:rPr>
        <w:t>年，全球清洁能源技术商业投资总额，包括早期的天使投资额、风险投资额、及后期的融资额总计为</w:t>
      </w:r>
      <w:r>
        <w:t>1600</w:t>
      </w:r>
      <w:r>
        <w:rPr>
          <w:rFonts w:cs="宋体" w:hint="eastAsia"/>
        </w:rPr>
        <w:t>亿美元。该等投资额（</w:t>
      </w:r>
      <w:r>
        <w:t>85%</w:t>
      </w:r>
      <w:r>
        <w:rPr>
          <w:rFonts w:cs="宋体" w:hint="eastAsia"/>
        </w:rPr>
        <w:t>）的绝大多数投向了风电和太阳能技术。就该年度的清洁能源总投资额而言，美国和欧盟落后于中国。</w:t>
      </w:r>
      <w:r>
        <w:t xml:space="preserve"> 2012</w:t>
      </w:r>
      <w:r>
        <w:rPr>
          <w:rFonts w:cs="宋体" w:hint="eastAsia"/>
        </w:rPr>
        <w:t>年约</w:t>
      </w:r>
      <w:r>
        <w:t>610</w:t>
      </w:r>
      <w:r>
        <w:rPr>
          <w:rFonts w:cs="宋体" w:hint="eastAsia"/>
        </w:rPr>
        <w:t>亿美元投向中国，而投向美国和欧盟的则为</w:t>
      </w:r>
      <w:r>
        <w:t>270</w:t>
      </w:r>
      <w:r>
        <w:rPr>
          <w:rFonts w:cs="宋体" w:hint="eastAsia"/>
        </w:rPr>
        <w:t>亿美元。总体而言，美国的投资额在</w:t>
      </w:r>
      <w:r>
        <w:t>2008</w:t>
      </w:r>
      <w:r>
        <w:rPr>
          <w:rFonts w:cs="宋体" w:hint="eastAsia"/>
        </w:rPr>
        <w:t>年金融危机时下降，但在</w:t>
      </w:r>
      <w:r>
        <w:t>2010</w:t>
      </w:r>
      <w:r>
        <w:rPr>
          <w:rFonts w:cs="宋体" w:hint="eastAsia"/>
        </w:rPr>
        <w:t>年回升至</w:t>
      </w:r>
      <w:r>
        <w:t>320</w:t>
      </w:r>
      <w:r>
        <w:rPr>
          <w:rFonts w:cs="宋体" w:hint="eastAsia"/>
        </w:rPr>
        <w:t>亿美元，</w:t>
      </w:r>
      <w:r>
        <w:t>2011</w:t>
      </w:r>
      <w:r>
        <w:rPr>
          <w:rFonts w:cs="宋体" w:hint="eastAsia"/>
        </w:rPr>
        <w:t>年达</w:t>
      </w:r>
      <w:r>
        <w:t>450</w:t>
      </w:r>
      <w:r>
        <w:rPr>
          <w:rFonts w:cs="宋体" w:hint="eastAsia"/>
        </w:rPr>
        <w:t>亿美元，而</w:t>
      </w:r>
      <w:r>
        <w:t>2012</w:t>
      </w:r>
      <w:r>
        <w:rPr>
          <w:rFonts w:cs="宋体" w:hint="eastAsia"/>
        </w:rPr>
        <w:t>年则降至</w:t>
      </w:r>
      <w:r>
        <w:t>290</w:t>
      </w:r>
      <w:r>
        <w:rPr>
          <w:rFonts w:cs="宋体" w:hint="eastAsia"/>
        </w:rPr>
        <w:t>亿美元。</w:t>
      </w:r>
      <w:r>
        <w:t>2012</w:t>
      </w:r>
      <w:r>
        <w:rPr>
          <w:rFonts w:cs="宋体" w:hint="eastAsia"/>
        </w:rPr>
        <w:t>年投资额下降可能主要是因为扶持可再生能源项目的融资合同和补贴到期，包括投资税收减免</w:t>
      </w:r>
      <w:r>
        <w:t xml:space="preserve"> </w:t>
      </w:r>
      <w:r>
        <w:rPr>
          <w:rFonts w:cs="宋体" w:hint="eastAsia"/>
        </w:rPr>
        <w:t>（</w:t>
      </w:r>
      <w:r>
        <w:t>ITC</w:t>
      </w:r>
      <w:r>
        <w:rPr>
          <w:rFonts w:cs="宋体" w:hint="eastAsia"/>
        </w:rPr>
        <w:t>）</w:t>
      </w:r>
      <w:r>
        <w:rPr>
          <w:rFonts w:hint="eastAsia"/>
        </w:rPr>
        <w:t>。</w:t>
      </w:r>
    </w:p>
    <w:p w:rsidR="00FF6CCE" w:rsidRPr="00E83B08" w:rsidRDefault="00FF6CCE" w:rsidP="00FF6CCE">
      <w:pPr>
        <w:widowControl/>
        <w:ind w:firstLine="480"/>
        <w:jc w:val="center"/>
        <w:rPr>
          <w:rFonts w:ascii="宋体" w:hAnsi="宋体" w:cs="宋体"/>
          <w:kern w:val="0"/>
          <w:szCs w:val="24"/>
        </w:rPr>
      </w:pPr>
      <w:r>
        <w:rPr>
          <w:rFonts w:ascii="宋体" w:hAnsi="宋体" w:cs="宋体"/>
          <w:noProof/>
          <w:kern w:val="0"/>
          <w:szCs w:val="24"/>
          <w:lang w:eastAsia="en-US"/>
        </w:rPr>
        <w:drawing>
          <wp:inline distT="0" distB="0" distL="0" distR="0">
            <wp:extent cx="4459605" cy="3179445"/>
            <wp:effectExtent l="25400" t="25400" r="36195" b="20955"/>
            <wp:docPr id="35" name="Picture 35" descr="CDAIZ{16O~YD`ARHW%$_1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AIZ{16O~YD`ARHW%$_1Z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9605" cy="3179445"/>
                    </a:xfrm>
                    <a:prstGeom prst="rect">
                      <a:avLst/>
                    </a:prstGeom>
                    <a:noFill/>
                    <a:ln w="6350" cmpd="sng">
                      <a:solidFill>
                        <a:srgbClr val="000000"/>
                      </a:solidFill>
                      <a:miter lim="800000"/>
                      <a:headEnd/>
                      <a:tailEnd/>
                    </a:ln>
                    <a:effectLst/>
                  </pic:spPr>
                </pic:pic>
              </a:graphicData>
            </a:graphic>
          </wp:inline>
        </w:drawing>
      </w:r>
    </w:p>
    <w:p w:rsidR="00FF6CCE" w:rsidRDefault="00FF6CCE" w:rsidP="00FF6CCE">
      <w:pPr>
        <w:pStyle w:val="a3"/>
        <w:numPr>
          <w:ilvl w:val="0"/>
          <w:numId w:val="11"/>
        </w:numPr>
        <w:tabs>
          <w:tab w:val="left" w:pos="1928"/>
        </w:tabs>
        <w:ind w:left="900" w:hanging="480"/>
      </w:pPr>
      <w:bookmarkStart w:id="231" w:name="_Toc392513080"/>
      <w:r>
        <w:rPr>
          <w:rFonts w:hint="eastAsia"/>
        </w:rPr>
        <w:t>新的各国年度清洁能源投资额</w:t>
      </w:r>
      <w:bookmarkEnd w:id="231"/>
    </w:p>
    <w:p w:rsidR="00FF6CCE" w:rsidRDefault="00FF6CCE" w:rsidP="00FF6CCE">
      <w:pPr>
        <w:pStyle w:val="a2"/>
        <w:ind w:left="840"/>
      </w:pPr>
      <w:r>
        <w:rPr>
          <w:rFonts w:hint="eastAsia"/>
        </w:rPr>
        <w:t>（</w:t>
      </w:r>
      <w:r>
        <w:t>资料来源：国家科学委员会</w:t>
      </w:r>
      <w:r>
        <w:t>2012</w:t>
      </w:r>
      <w:r>
        <w:rPr>
          <w:rFonts w:hint="eastAsia"/>
        </w:rPr>
        <w:t>）</w:t>
      </w:r>
    </w:p>
    <w:p w:rsidR="00FF6CCE" w:rsidRDefault="00FF6CCE" w:rsidP="00FF6CCE">
      <w:pPr>
        <w:ind w:firstLine="480"/>
        <w:rPr>
          <w:rFonts w:hint="eastAsia"/>
        </w:rPr>
      </w:pPr>
      <w:r>
        <w:rPr>
          <w:rFonts w:hint="eastAsia"/>
        </w:rPr>
        <w:t>绝大多数在美国的投资投向风电和太阳能技术，</w:t>
      </w:r>
      <w:r>
        <w:t>2012</w:t>
      </w:r>
      <w:r>
        <w:rPr>
          <w:rFonts w:hint="eastAsia"/>
        </w:rPr>
        <w:t>年</w:t>
      </w:r>
      <w:r>
        <w:t xml:space="preserve"> </w:t>
      </w:r>
      <w:r>
        <w:rPr>
          <w:rFonts w:hint="eastAsia"/>
        </w:rPr>
        <w:t>风电总投资额约为</w:t>
      </w:r>
      <w:r>
        <w:t>140</w:t>
      </w:r>
      <w:r>
        <w:rPr>
          <w:rFonts w:hint="eastAsia"/>
        </w:rPr>
        <w:t>亿美元，太阳能的投资额约为</w:t>
      </w:r>
      <w:r>
        <w:t>100</w:t>
      </w:r>
      <w:r>
        <w:rPr>
          <w:rFonts w:hint="eastAsia"/>
        </w:rPr>
        <w:t>亿美元。</w:t>
      </w:r>
      <w:r>
        <w:t xml:space="preserve"> </w:t>
      </w:r>
      <w:r>
        <w:rPr>
          <w:rFonts w:hint="eastAsia"/>
        </w:rPr>
        <w:t>中国在</w:t>
      </w:r>
      <w:r>
        <w:t>2012</w:t>
      </w:r>
      <w:r>
        <w:rPr>
          <w:rFonts w:hint="eastAsia"/>
        </w:rPr>
        <w:t>年对风电和太阳能的投资额远超美国。</w:t>
      </w:r>
      <w:r>
        <w:t xml:space="preserve"> </w:t>
      </w:r>
      <w:r>
        <w:rPr>
          <w:rFonts w:hint="eastAsia"/>
        </w:rPr>
        <w:t>另外，值得注意的是，在</w:t>
      </w:r>
      <w:r>
        <w:t>2012</w:t>
      </w:r>
      <w:r>
        <w:rPr>
          <w:rFonts w:hint="eastAsia"/>
        </w:rPr>
        <w:t>年，中国太阳能的投资额首次接近风电投资额（太阳能</w:t>
      </w:r>
      <w:r>
        <w:t>270</w:t>
      </w:r>
      <w:r>
        <w:rPr>
          <w:rFonts w:hint="eastAsia"/>
        </w:rPr>
        <w:t>亿美元，风电</w:t>
      </w:r>
      <w:r>
        <w:t>280</w:t>
      </w:r>
      <w:r>
        <w:rPr>
          <w:rFonts w:hint="eastAsia"/>
        </w:rPr>
        <w:t>亿美元）。欧盟在</w:t>
      </w:r>
      <w:r>
        <w:t>2012</w:t>
      </w:r>
      <w:r>
        <w:rPr>
          <w:rFonts w:hint="eastAsia"/>
        </w:rPr>
        <w:t>年在风能上的投资超过了美国的，尽管美国在</w:t>
      </w:r>
      <w:r>
        <w:t>2010</w:t>
      </w:r>
      <w:r>
        <w:rPr>
          <w:rFonts w:hint="eastAsia"/>
        </w:rPr>
        <w:t>年领先于欧盟。在太阳能领域，美国的投资额在</w:t>
      </w:r>
      <w:r>
        <w:t>2012</w:t>
      </w:r>
      <w:r>
        <w:rPr>
          <w:rFonts w:hint="eastAsia"/>
        </w:rPr>
        <w:t>年超过欧盟，而在</w:t>
      </w:r>
      <w:r>
        <w:t>2010</w:t>
      </w:r>
      <w:r>
        <w:rPr>
          <w:rFonts w:hint="eastAsia"/>
        </w:rPr>
        <w:t>年落后于欧盟。</w:t>
      </w:r>
    </w:p>
    <w:p w:rsidR="00FF6CCE" w:rsidRDefault="00FF6CCE" w:rsidP="00FF6CCE">
      <w:pPr>
        <w:autoSpaceDE w:val="0"/>
        <w:autoSpaceDN w:val="0"/>
        <w:adjustRightInd w:val="0"/>
        <w:rPr>
          <w:rFonts w:hint="eastAsia"/>
        </w:rPr>
      </w:pPr>
      <w:r>
        <w:rPr>
          <w:rFonts w:hint="eastAsia"/>
          <w:noProof/>
          <w:lang w:eastAsia="en-US"/>
        </w:rPr>
        <w:drawing>
          <wp:inline distT="0" distB="0" distL="0" distR="0">
            <wp:extent cx="5824220" cy="1758315"/>
            <wp:effectExtent l="0" t="0" r="0" b="0"/>
            <wp:docPr id="36" name="Picture 14"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0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24220" cy="1758315"/>
                    </a:xfrm>
                    <a:prstGeom prst="rect">
                      <a:avLst/>
                    </a:prstGeom>
                    <a:noFill/>
                    <a:ln>
                      <a:noFill/>
                    </a:ln>
                  </pic:spPr>
                </pic:pic>
              </a:graphicData>
            </a:graphic>
          </wp:inline>
        </w:drawing>
      </w:r>
    </w:p>
    <w:p w:rsidR="00FF6CCE" w:rsidRDefault="00FF6CCE" w:rsidP="00FF6CCE">
      <w:pPr>
        <w:pStyle w:val="a3"/>
        <w:numPr>
          <w:ilvl w:val="0"/>
          <w:numId w:val="11"/>
        </w:numPr>
        <w:tabs>
          <w:tab w:val="left" w:pos="1928"/>
        </w:tabs>
        <w:ind w:left="900" w:hanging="480"/>
      </w:pPr>
      <w:bookmarkStart w:id="232" w:name="_Toc392513081"/>
      <w:r>
        <w:rPr>
          <w:rFonts w:hint="eastAsia"/>
        </w:rPr>
        <w:t>主要国家年度风电和太阳能投资额</w:t>
      </w:r>
      <w:bookmarkEnd w:id="232"/>
    </w:p>
    <w:p w:rsidR="00FF6CCE" w:rsidRDefault="00FF6CCE" w:rsidP="00FF6CCE">
      <w:pPr>
        <w:pStyle w:val="a2"/>
        <w:ind w:left="840"/>
      </w:pPr>
      <w:r>
        <w:rPr>
          <w:rFonts w:hint="eastAsia"/>
        </w:rPr>
        <w:t>（</w:t>
      </w:r>
      <w:r>
        <w:t>资料来源：国家科学委员会</w:t>
      </w:r>
      <w:r>
        <w:t>2012</w:t>
      </w:r>
      <w:r>
        <w:t>。</w:t>
      </w:r>
      <w:r>
        <w:rPr>
          <w:rFonts w:hint="eastAsia"/>
        </w:rPr>
        <w:t>）</w:t>
      </w:r>
    </w:p>
    <w:p w:rsidR="00FF6CCE" w:rsidRDefault="00FF6CCE" w:rsidP="00FF6CCE">
      <w:pPr>
        <w:autoSpaceDE w:val="0"/>
        <w:autoSpaceDN w:val="0"/>
        <w:adjustRightInd w:val="0"/>
        <w:ind w:firstLine="480"/>
      </w:pPr>
      <w:r>
        <w:rPr>
          <w:rFonts w:cs="宋体" w:hint="eastAsia"/>
        </w:rPr>
        <w:t>如前所述，全球绝大多数风投资金来源于美国。美国</w:t>
      </w:r>
      <w:r>
        <w:t>2012</w:t>
      </w:r>
      <w:r>
        <w:rPr>
          <w:rFonts w:cs="宋体" w:hint="eastAsia"/>
        </w:rPr>
        <w:t>年在清洁能源领域里的风投资金总额为</w:t>
      </w:r>
      <w:r>
        <w:t>40</w:t>
      </w:r>
      <w:r>
        <w:rPr>
          <w:rFonts w:cs="宋体" w:hint="eastAsia"/>
        </w:rPr>
        <w:t>亿美元，其中约一半投向提高能源效率和智能电网技术，约</w:t>
      </w:r>
      <w:r>
        <w:t>20%</w:t>
      </w:r>
      <w:r>
        <w:rPr>
          <w:rFonts w:cs="宋体" w:hint="eastAsia"/>
        </w:rPr>
        <w:t>投向太阳能和生物质能技术。</w:t>
      </w:r>
    </w:p>
    <w:p w:rsidR="00FF6CCE" w:rsidRDefault="00FF6CCE" w:rsidP="00FF6CCE">
      <w:pPr>
        <w:autoSpaceDE w:val="0"/>
        <w:autoSpaceDN w:val="0"/>
        <w:adjustRightInd w:val="0"/>
        <w:ind w:firstLine="480"/>
        <w:jc w:val="center"/>
        <w:rPr>
          <w:rFonts w:hint="eastAsia"/>
        </w:rPr>
      </w:pPr>
      <w:r>
        <w:rPr>
          <w:noProof/>
          <w:lang w:eastAsia="en-US"/>
        </w:rPr>
        <w:drawing>
          <wp:inline distT="0" distB="0" distL="0" distR="0">
            <wp:extent cx="4613910" cy="2813685"/>
            <wp:effectExtent l="0" t="0" r="8890" b="5715"/>
            <wp:docPr id="37" name="Picture 15"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13910" cy="2813685"/>
                    </a:xfrm>
                    <a:prstGeom prst="rect">
                      <a:avLst/>
                    </a:prstGeom>
                    <a:noFill/>
                    <a:ln>
                      <a:noFill/>
                    </a:ln>
                  </pic:spPr>
                </pic:pic>
              </a:graphicData>
            </a:graphic>
          </wp:inline>
        </w:drawing>
      </w:r>
    </w:p>
    <w:p w:rsidR="00FF6CCE" w:rsidRDefault="00FF6CCE" w:rsidP="00FF6CCE">
      <w:pPr>
        <w:pStyle w:val="a3"/>
        <w:numPr>
          <w:ilvl w:val="0"/>
          <w:numId w:val="11"/>
        </w:numPr>
        <w:tabs>
          <w:tab w:val="left" w:pos="1928"/>
        </w:tabs>
        <w:ind w:left="900" w:hanging="480"/>
      </w:pPr>
      <w:bookmarkStart w:id="233" w:name="_Toc392513082"/>
      <w:r>
        <w:rPr>
          <w:rFonts w:hint="eastAsia"/>
        </w:rPr>
        <w:t>清洁能源领域的风投资金额</w:t>
      </w:r>
      <w:bookmarkEnd w:id="233"/>
    </w:p>
    <w:p w:rsidR="00FF6CCE" w:rsidRDefault="00FF6CCE" w:rsidP="00FF6CCE">
      <w:pPr>
        <w:pStyle w:val="a2"/>
        <w:ind w:left="840"/>
      </w:pPr>
      <w:r>
        <w:rPr>
          <w:rFonts w:hint="eastAsia"/>
        </w:rPr>
        <w:t>（</w:t>
      </w:r>
      <w:r>
        <w:t>资料来源：国家科学委员会</w:t>
      </w:r>
      <w:r>
        <w:t>2012</w:t>
      </w:r>
      <w:r>
        <w:t>。</w:t>
      </w:r>
      <w:r>
        <w:rPr>
          <w:rFonts w:hint="eastAsia"/>
        </w:rPr>
        <w:t>）</w:t>
      </w:r>
    </w:p>
    <w:p w:rsidR="00FF6CCE" w:rsidRDefault="00FF6CCE" w:rsidP="00FF6CCE">
      <w:pPr>
        <w:pStyle w:val="Heading3"/>
        <w:numPr>
          <w:ilvl w:val="2"/>
          <w:numId w:val="1"/>
        </w:numPr>
        <w:tabs>
          <w:tab w:val="clear" w:pos="720"/>
        </w:tabs>
      </w:pPr>
      <w:bookmarkStart w:id="234" w:name="_Toc11266"/>
      <w:bookmarkStart w:id="235" w:name="_Toc21083"/>
      <w:bookmarkStart w:id="236" w:name="_Toc392057050"/>
      <w:bookmarkStart w:id="237" w:name="_Toc392513024"/>
      <w:r>
        <w:rPr>
          <w:rFonts w:hint="eastAsia"/>
        </w:rPr>
        <w:t>研究、发展和示范方面的</w:t>
      </w:r>
      <w:bookmarkEnd w:id="234"/>
      <w:bookmarkEnd w:id="235"/>
      <w:r>
        <w:rPr>
          <w:rFonts w:hint="eastAsia"/>
        </w:rPr>
        <w:t>支持</w:t>
      </w:r>
      <w:bookmarkEnd w:id="236"/>
      <w:bookmarkEnd w:id="237"/>
    </w:p>
    <w:p w:rsidR="00FF6CCE" w:rsidRDefault="00FF6CCE" w:rsidP="00FF6CCE">
      <w:pPr>
        <w:ind w:firstLine="480"/>
      </w:pPr>
      <w:r>
        <w:t>2012</w:t>
      </w:r>
      <w:r>
        <w:rPr>
          <w:rFonts w:hint="eastAsia"/>
        </w:rPr>
        <w:t>年，美国向清洁能源和核能研发投入了约</w:t>
      </w:r>
      <w:r>
        <w:t>40</w:t>
      </w:r>
      <w:r>
        <w:rPr>
          <w:rFonts w:hint="eastAsia"/>
        </w:rPr>
        <w:t>亿美元，使他和日本一起成为了最大的全球投资国。欧盟投入了约</w:t>
      </w:r>
      <w:r>
        <w:t>26</w:t>
      </w:r>
      <w:r>
        <w:rPr>
          <w:rFonts w:hint="eastAsia"/>
        </w:rPr>
        <w:t>亿美元，加拿大约</w:t>
      </w:r>
      <w:r>
        <w:t>10</w:t>
      </w:r>
      <w:r>
        <w:rPr>
          <w:rFonts w:hint="eastAsia"/>
        </w:rPr>
        <w:t>亿美元，澳大利亚和韩国各自的投资额在</w:t>
      </w:r>
      <w:r>
        <w:t>5</w:t>
      </w:r>
      <w:r>
        <w:rPr>
          <w:rFonts w:hint="eastAsia"/>
        </w:rPr>
        <w:t>亿</w:t>
      </w:r>
      <w:r>
        <w:t>-6</w:t>
      </w:r>
      <w:r>
        <w:rPr>
          <w:rFonts w:hint="eastAsia"/>
        </w:rPr>
        <w:t>亿美元之间。</w:t>
      </w:r>
      <w:r>
        <w:t xml:space="preserve"> </w:t>
      </w:r>
      <w:r>
        <w:rPr>
          <w:rFonts w:hint="eastAsia"/>
        </w:rPr>
        <w:t>美国用于研发和示范的投资额自</w:t>
      </w:r>
      <w:r>
        <w:t>2004</w:t>
      </w:r>
      <w:r>
        <w:rPr>
          <w:rFonts w:hint="eastAsia"/>
        </w:rPr>
        <w:t>年起一直在增加，并于</w:t>
      </w:r>
      <w:r>
        <w:t>2009</w:t>
      </w:r>
      <w:r>
        <w:rPr>
          <w:rFonts w:hint="eastAsia"/>
        </w:rPr>
        <w:t>年因</w:t>
      </w:r>
      <w:r>
        <w:t xml:space="preserve"> ARRA </w:t>
      </w:r>
      <w:r>
        <w:rPr>
          <w:rFonts w:hint="eastAsia"/>
        </w:rPr>
        <w:t>而达到了</w:t>
      </w:r>
      <w:r>
        <w:t>71</w:t>
      </w:r>
      <w:r>
        <w:rPr>
          <w:rFonts w:hint="eastAsia"/>
        </w:rPr>
        <w:t>亿美元。约</w:t>
      </w:r>
      <w:r>
        <w:t>30</w:t>
      </w:r>
      <w:r>
        <w:rPr>
          <w:rFonts w:hint="eastAsia"/>
        </w:rPr>
        <w:t>亿</w:t>
      </w:r>
      <w:r>
        <w:t xml:space="preserve"> </w:t>
      </w:r>
      <w:r>
        <w:rPr>
          <w:rFonts w:hint="eastAsia"/>
        </w:rPr>
        <w:t>美元的</w:t>
      </w:r>
      <w:r>
        <w:t xml:space="preserve">ARRA </w:t>
      </w:r>
      <w:r>
        <w:rPr>
          <w:rFonts w:hint="eastAsia"/>
        </w:rPr>
        <w:t>资金投入了可再生能源和提高能源效率方面（分配大致均匀）。</w:t>
      </w:r>
    </w:p>
    <w:p w:rsidR="00FF6CCE" w:rsidRDefault="00FF6CCE" w:rsidP="00FF6CCE">
      <w:pPr>
        <w:ind w:firstLine="480"/>
        <w:jc w:val="center"/>
        <w:rPr>
          <w:rFonts w:hint="eastAsia"/>
        </w:rPr>
      </w:pPr>
      <w:r>
        <w:rPr>
          <w:rFonts w:hint="eastAsia"/>
          <w:noProof/>
          <w:lang w:eastAsia="en-US"/>
        </w:rPr>
        <w:drawing>
          <wp:inline distT="0" distB="0" distL="0" distR="0">
            <wp:extent cx="4613910" cy="2391410"/>
            <wp:effectExtent l="0" t="0" r="8890" b="0"/>
            <wp:docPr id="38" name="Picture 16"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13910" cy="2391410"/>
                    </a:xfrm>
                    <a:prstGeom prst="rect">
                      <a:avLst/>
                    </a:prstGeom>
                    <a:noFill/>
                    <a:ln>
                      <a:noFill/>
                    </a:ln>
                  </pic:spPr>
                </pic:pic>
              </a:graphicData>
            </a:graphic>
          </wp:inline>
        </w:drawing>
      </w:r>
    </w:p>
    <w:p w:rsidR="00FF6CCE" w:rsidRDefault="00FF6CCE" w:rsidP="00FF6CCE">
      <w:pPr>
        <w:pStyle w:val="a3"/>
        <w:numPr>
          <w:ilvl w:val="0"/>
          <w:numId w:val="11"/>
        </w:numPr>
        <w:tabs>
          <w:tab w:val="left" w:pos="1928"/>
        </w:tabs>
        <w:ind w:left="900" w:hanging="480"/>
      </w:pPr>
      <w:bookmarkStart w:id="238" w:name="_Toc392513083"/>
      <w:r>
        <w:rPr>
          <w:rFonts w:hint="eastAsia"/>
        </w:rPr>
        <w:t>主要国家在清洁能源领域的研发和示范支出情况</w:t>
      </w:r>
      <w:bookmarkEnd w:id="238"/>
    </w:p>
    <w:p w:rsidR="00FF6CCE" w:rsidRDefault="00FF6CCE" w:rsidP="00FF6CCE">
      <w:pPr>
        <w:pStyle w:val="a2"/>
        <w:ind w:left="840"/>
      </w:pPr>
      <w:r>
        <w:rPr>
          <w:rFonts w:hint="eastAsia"/>
        </w:rPr>
        <w:t>（</w:t>
      </w:r>
      <w:r>
        <w:t>资料来源：国家科学委员会</w:t>
      </w:r>
      <w:r>
        <w:t>2012</w:t>
      </w:r>
      <w:r>
        <w:t>。</w:t>
      </w:r>
      <w:r>
        <w:rPr>
          <w:rFonts w:hint="eastAsia"/>
        </w:rPr>
        <w:t>）</w:t>
      </w:r>
    </w:p>
    <w:p w:rsidR="00FF6CCE" w:rsidRDefault="00FF6CCE" w:rsidP="00FF6CCE">
      <w:pPr>
        <w:ind w:firstLine="480"/>
      </w:pPr>
      <w:r>
        <w:rPr>
          <w:rFonts w:hint="eastAsia"/>
        </w:rPr>
        <w:t>据国际能源机构报道，美国清洁能源的研发和示范，在表一中详细的指出了自</w:t>
      </w:r>
      <w:r>
        <w:t>2007</w:t>
      </w:r>
      <w:r>
        <w:rPr>
          <w:rFonts w:hint="eastAsia"/>
        </w:rPr>
        <w:t>年至</w:t>
      </w:r>
      <w:r>
        <w:t>2011</w:t>
      </w:r>
      <w:r>
        <w:rPr>
          <w:rFonts w:hint="eastAsia"/>
        </w:rPr>
        <w:t>年，可再生能源具体研发和示范投资额因</w:t>
      </w:r>
      <w:r>
        <w:t xml:space="preserve">ARRA </w:t>
      </w:r>
      <w:r>
        <w:rPr>
          <w:rFonts w:hint="eastAsia"/>
        </w:rPr>
        <w:t>的资金于</w:t>
      </w:r>
      <w:r>
        <w:t>2009</w:t>
      </w:r>
      <w:r>
        <w:rPr>
          <w:rFonts w:hint="eastAsia"/>
        </w:rPr>
        <w:t>年达到顶点，然后下降。用于提高能源效率的投资额也是类似趋势。</w:t>
      </w:r>
      <w:r>
        <w:t>2011</w:t>
      </w:r>
      <w:r>
        <w:rPr>
          <w:rFonts w:hint="eastAsia"/>
        </w:rPr>
        <w:t>年的核能投资额高于前五年的总和。</w:t>
      </w:r>
    </w:p>
    <w:p w:rsidR="00FF6CCE" w:rsidRDefault="00FF6CCE" w:rsidP="00FF6CCE">
      <w:pPr>
        <w:pStyle w:val="a"/>
        <w:numPr>
          <w:ilvl w:val="0"/>
          <w:numId w:val="10"/>
        </w:numPr>
        <w:tabs>
          <w:tab w:val="clear" w:pos="0"/>
        </w:tabs>
        <w:rPr>
          <w:rFonts w:hint="eastAsia"/>
        </w:rPr>
      </w:pPr>
      <w:bookmarkStart w:id="239" w:name="_Toc392513099"/>
      <w:r>
        <w:rPr>
          <w:rFonts w:hint="eastAsia"/>
        </w:rPr>
        <w:t>美国清洁能源技术的研发</w:t>
      </w:r>
      <w:bookmarkEnd w:id="239"/>
    </w:p>
    <w:p w:rsidR="00FF6CCE" w:rsidRDefault="00FF6CCE" w:rsidP="00FF6CCE">
      <w:pPr>
        <w:ind w:firstLine="480"/>
        <w:jc w:val="right"/>
      </w:pPr>
      <w:r>
        <w:rPr>
          <w:rFonts w:hint="eastAsia"/>
        </w:rPr>
        <w:t>单位：百万美元</w:t>
      </w:r>
    </w:p>
    <w:tbl>
      <w:tblPr>
        <w:tblW w:w="46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8"/>
        <w:gridCol w:w="942"/>
        <w:gridCol w:w="941"/>
        <w:gridCol w:w="1250"/>
        <w:gridCol w:w="940"/>
        <w:gridCol w:w="1506"/>
        <w:gridCol w:w="938"/>
      </w:tblGrid>
      <w:tr w:rsidR="00FF6CCE" w:rsidTr="00FF6CCE">
        <w:trPr>
          <w:trHeight w:val="389"/>
          <w:jc w:val="center"/>
        </w:trPr>
        <w:tc>
          <w:tcPr>
            <w:tcW w:w="846" w:type="pct"/>
            <w:vAlign w:val="center"/>
          </w:tcPr>
          <w:p w:rsidR="00FF6CCE" w:rsidRDefault="00FF6CCE" w:rsidP="00FF6CCE">
            <w:pPr>
              <w:jc w:val="center"/>
              <w:rPr>
                <w:rFonts w:ascii="宋体" w:hAnsi="宋体" w:hint="eastAsia"/>
                <w:b/>
                <w:bCs/>
                <w:szCs w:val="21"/>
              </w:rPr>
            </w:pPr>
            <w:r>
              <w:rPr>
                <w:rFonts w:ascii="宋体" w:hAnsi="宋体" w:hint="eastAsia"/>
                <w:b/>
                <w:bCs/>
                <w:szCs w:val="21"/>
              </w:rPr>
              <w:t>年度</w:t>
            </w:r>
          </w:p>
        </w:tc>
        <w:tc>
          <w:tcPr>
            <w:tcW w:w="600" w:type="pct"/>
            <w:vAlign w:val="center"/>
          </w:tcPr>
          <w:p w:rsidR="00FF6CCE" w:rsidRDefault="00FF6CCE" w:rsidP="00FF6CCE">
            <w:pPr>
              <w:jc w:val="center"/>
              <w:rPr>
                <w:rFonts w:ascii="宋体" w:hAnsi="宋体" w:hint="eastAsia"/>
                <w:b/>
                <w:bCs/>
                <w:szCs w:val="21"/>
              </w:rPr>
            </w:pPr>
            <w:r>
              <w:rPr>
                <w:rFonts w:ascii="宋体" w:hAnsi="宋体" w:hint="eastAsia"/>
                <w:b/>
                <w:bCs/>
                <w:szCs w:val="21"/>
              </w:rPr>
              <w:t>总量</w:t>
            </w:r>
          </w:p>
        </w:tc>
        <w:tc>
          <w:tcPr>
            <w:tcW w:w="599" w:type="pct"/>
            <w:vAlign w:val="center"/>
          </w:tcPr>
          <w:p w:rsidR="00FF6CCE" w:rsidRDefault="00FF6CCE" w:rsidP="00FF6CCE">
            <w:pPr>
              <w:jc w:val="center"/>
              <w:rPr>
                <w:rFonts w:ascii="宋体" w:hAnsi="宋体" w:hint="eastAsia"/>
                <w:b/>
                <w:bCs/>
                <w:szCs w:val="21"/>
              </w:rPr>
            </w:pPr>
            <w:r>
              <w:rPr>
                <w:rFonts w:ascii="宋体" w:hAnsi="宋体" w:hint="eastAsia"/>
                <w:b/>
                <w:bCs/>
                <w:szCs w:val="21"/>
              </w:rPr>
              <w:t>能效</w:t>
            </w:r>
          </w:p>
        </w:tc>
        <w:tc>
          <w:tcPr>
            <w:tcW w:w="797" w:type="pct"/>
            <w:vAlign w:val="center"/>
          </w:tcPr>
          <w:p w:rsidR="00FF6CCE" w:rsidRDefault="00FF6CCE" w:rsidP="00FF6CCE">
            <w:pPr>
              <w:jc w:val="center"/>
              <w:rPr>
                <w:rFonts w:ascii="宋体" w:hAnsi="宋体" w:hint="eastAsia"/>
                <w:b/>
                <w:bCs/>
                <w:szCs w:val="21"/>
              </w:rPr>
            </w:pPr>
            <w:r>
              <w:rPr>
                <w:rFonts w:ascii="宋体" w:hAnsi="宋体" w:hint="eastAsia"/>
                <w:b/>
                <w:bCs/>
                <w:szCs w:val="21"/>
              </w:rPr>
              <w:t>新能源</w:t>
            </w:r>
          </w:p>
        </w:tc>
        <w:tc>
          <w:tcPr>
            <w:tcW w:w="599" w:type="pct"/>
            <w:vAlign w:val="center"/>
          </w:tcPr>
          <w:p w:rsidR="00FF6CCE" w:rsidRDefault="00FF6CCE" w:rsidP="00FF6CCE">
            <w:pPr>
              <w:jc w:val="center"/>
              <w:rPr>
                <w:rFonts w:ascii="宋体" w:hAnsi="宋体" w:hint="eastAsia"/>
                <w:b/>
                <w:bCs/>
                <w:szCs w:val="21"/>
              </w:rPr>
            </w:pPr>
            <w:r>
              <w:rPr>
                <w:rFonts w:ascii="宋体" w:hAnsi="宋体" w:hint="eastAsia"/>
                <w:b/>
                <w:bCs/>
                <w:szCs w:val="21"/>
              </w:rPr>
              <w:t>核能</w:t>
            </w:r>
          </w:p>
        </w:tc>
        <w:tc>
          <w:tcPr>
            <w:tcW w:w="960" w:type="pct"/>
            <w:vAlign w:val="center"/>
          </w:tcPr>
          <w:p w:rsidR="00FF6CCE" w:rsidRDefault="00FF6CCE" w:rsidP="00FF6CCE">
            <w:pPr>
              <w:jc w:val="center"/>
              <w:rPr>
                <w:rFonts w:ascii="宋体" w:hAnsi="宋体" w:hint="eastAsia"/>
                <w:b/>
                <w:bCs/>
                <w:szCs w:val="21"/>
              </w:rPr>
            </w:pPr>
            <w:r>
              <w:rPr>
                <w:rFonts w:ascii="宋体" w:hAnsi="宋体" w:hint="eastAsia"/>
                <w:b/>
                <w:bCs/>
                <w:szCs w:val="21"/>
              </w:rPr>
              <w:t>氢和燃料电池</w:t>
            </w:r>
          </w:p>
        </w:tc>
        <w:tc>
          <w:tcPr>
            <w:tcW w:w="598" w:type="pct"/>
            <w:vAlign w:val="center"/>
          </w:tcPr>
          <w:p w:rsidR="00FF6CCE" w:rsidRDefault="00FF6CCE" w:rsidP="00FF6CCE">
            <w:pPr>
              <w:jc w:val="center"/>
              <w:rPr>
                <w:rFonts w:ascii="宋体" w:hAnsi="宋体" w:hint="eastAsia"/>
                <w:b/>
                <w:bCs/>
                <w:szCs w:val="21"/>
              </w:rPr>
            </w:pPr>
            <w:r>
              <w:rPr>
                <w:rFonts w:ascii="宋体" w:hAnsi="宋体" w:hint="eastAsia"/>
                <w:b/>
                <w:bCs/>
                <w:szCs w:val="21"/>
              </w:rPr>
              <w:t>储能</w:t>
            </w:r>
          </w:p>
        </w:tc>
      </w:tr>
      <w:tr w:rsidR="00FF6CCE" w:rsidTr="00FF6CCE">
        <w:trPr>
          <w:trHeight w:val="342"/>
          <w:jc w:val="center"/>
        </w:trPr>
        <w:tc>
          <w:tcPr>
            <w:tcW w:w="846" w:type="pct"/>
            <w:vAlign w:val="center"/>
          </w:tcPr>
          <w:p w:rsidR="00FF6CCE" w:rsidRDefault="00FF6CCE" w:rsidP="00FF6CCE">
            <w:pPr>
              <w:jc w:val="center"/>
              <w:rPr>
                <w:rFonts w:ascii="宋体" w:hAnsi="宋体" w:hint="eastAsia"/>
                <w:bCs/>
                <w:szCs w:val="21"/>
              </w:rPr>
            </w:pPr>
            <w:r>
              <w:rPr>
                <w:rFonts w:ascii="宋体" w:hAnsi="宋体" w:hint="eastAsia"/>
                <w:bCs/>
                <w:szCs w:val="21"/>
              </w:rPr>
              <w:t>2007年</w:t>
            </w:r>
          </w:p>
        </w:tc>
        <w:tc>
          <w:tcPr>
            <w:tcW w:w="600" w:type="pct"/>
            <w:vAlign w:val="center"/>
          </w:tcPr>
          <w:p w:rsidR="00FF6CCE" w:rsidRDefault="00FF6CCE" w:rsidP="00FF6CCE">
            <w:pPr>
              <w:jc w:val="right"/>
              <w:rPr>
                <w:rFonts w:ascii="宋体" w:hAnsi="宋体" w:hint="eastAsia"/>
                <w:bCs/>
                <w:szCs w:val="21"/>
              </w:rPr>
            </w:pPr>
            <w:r>
              <w:rPr>
                <w:rFonts w:ascii="宋体" w:hAnsi="宋体" w:hint="eastAsia"/>
                <w:bCs/>
                <w:szCs w:val="21"/>
              </w:rPr>
              <w:t>2072</w:t>
            </w:r>
          </w:p>
        </w:tc>
        <w:tc>
          <w:tcPr>
            <w:tcW w:w="599" w:type="pct"/>
            <w:vAlign w:val="center"/>
          </w:tcPr>
          <w:p w:rsidR="00FF6CCE" w:rsidRDefault="00FF6CCE" w:rsidP="00FF6CCE">
            <w:pPr>
              <w:jc w:val="right"/>
              <w:rPr>
                <w:rFonts w:ascii="宋体" w:hAnsi="宋体" w:hint="eastAsia"/>
                <w:bCs/>
                <w:szCs w:val="21"/>
              </w:rPr>
            </w:pPr>
            <w:r>
              <w:rPr>
                <w:rFonts w:ascii="宋体" w:hAnsi="宋体" w:hint="eastAsia"/>
                <w:bCs/>
                <w:szCs w:val="21"/>
              </w:rPr>
              <w:t>462</w:t>
            </w:r>
          </w:p>
        </w:tc>
        <w:tc>
          <w:tcPr>
            <w:tcW w:w="797" w:type="pct"/>
            <w:vAlign w:val="center"/>
          </w:tcPr>
          <w:p w:rsidR="00FF6CCE" w:rsidRDefault="00FF6CCE" w:rsidP="00FF6CCE">
            <w:pPr>
              <w:jc w:val="right"/>
              <w:rPr>
                <w:rFonts w:ascii="宋体" w:hAnsi="宋体" w:hint="eastAsia"/>
                <w:bCs/>
                <w:szCs w:val="21"/>
              </w:rPr>
            </w:pPr>
            <w:r>
              <w:rPr>
                <w:rFonts w:ascii="宋体" w:hAnsi="宋体" w:hint="eastAsia"/>
                <w:bCs/>
                <w:szCs w:val="21"/>
              </w:rPr>
              <w:t>223</w:t>
            </w:r>
          </w:p>
        </w:tc>
        <w:tc>
          <w:tcPr>
            <w:tcW w:w="599" w:type="pct"/>
            <w:vAlign w:val="center"/>
          </w:tcPr>
          <w:p w:rsidR="00FF6CCE" w:rsidRDefault="00FF6CCE" w:rsidP="00FF6CCE">
            <w:pPr>
              <w:jc w:val="right"/>
              <w:rPr>
                <w:rFonts w:ascii="宋体" w:hAnsi="宋体" w:hint="eastAsia"/>
                <w:bCs/>
                <w:szCs w:val="21"/>
              </w:rPr>
            </w:pPr>
            <w:r>
              <w:rPr>
                <w:rFonts w:ascii="宋体" w:hAnsi="宋体" w:hint="eastAsia"/>
                <w:bCs/>
                <w:szCs w:val="21"/>
              </w:rPr>
              <w:t>721</w:t>
            </w:r>
          </w:p>
        </w:tc>
        <w:tc>
          <w:tcPr>
            <w:tcW w:w="960" w:type="pct"/>
            <w:vAlign w:val="center"/>
          </w:tcPr>
          <w:p w:rsidR="00FF6CCE" w:rsidRDefault="00FF6CCE" w:rsidP="00FF6CCE">
            <w:pPr>
              <w:jc w:val="right"/>
              <w:rPr>
                <w:rFonts w:ascii="宋体" w:hAnsi="宋体" w:hint="eastAsia"/>
                <w:bCs/>
                <w:szCs w:val="21"/>
              </w:rPr>
            </w:pPr>
            <w:r>
              <w:rPr>
                <w:rFonts w:ascii="宋体" w:hAnsi="宋体" w:hint="eastAsia"/>
                <w:bCs/>
                <w:szCs w:val="21"/>
              </w:rPr>
              <w:t>357</w:t>
            </w:r>
          </w:p>
        </w:tc>
        <w:tc>
          <w:tcPr>
            <w:tcW w:w="598" w:type="pct"/>
            <w:vAlign w:val="center"/>
          </w:tcPr>
          <w:p w:rsidR="00FF6CCE" w:rsidRDefault="00FF6CCE" w:rsidP="00FF6CCE">
            <w:pPr>
              <w:jc w:val="right"/>
              <w:rPr>
                <w:rFonts w:ascii="宋体" w:hAnsi="宋体" w:hint="eastAsia"/>
                <w:bCs/>
                <w:szCs w:val="21"/>
              </w:rPr>
            </w:pPr>
            <w:r>
              <w:rPr>
                <w:rFonts w:ascii="宋体" w:hAnsi="宋体" w:hint="eastAsia"/>
                <w:bCs/>
                <w:szCs w:val="21"/>
              </w:rPr>
              <w:t>159</w:t>
            </w:r>
          </w:p>
        </w:tc>
      </w:tr>
      <w:tr w:rsidR="00FF6CCE" w:rsidTr="00FF6CCE">
        <w:trPr>
          <w:trHeight w:val="306"/>
          <w:jc w:val="center"/>
        </w:trPr>
        <w:tc>
          <w:tcPr>
            <w:tcW w:w="846" w:type="pct"/>
            <w:vAlign w:val="center"/>
          </w:tcPr>
          <w:p w:rsidR="00FF6CCE" w:rsidRDefault="00FF6CCE" w:rsidP="00FF6CCE">
            <w:pPr>
              <w:jc w:val="center"/>
              <w:rPr>
                <w:rFonts w:ascii="宋体" w:hAnsi="宋体" w:hint="eastAsia"/>
                <w:bCs/>
                <w:szCs w:val="21"/>
              </w:rPr>
            </w:pPr>
            <w:r>
              <w:rPr>
                <w:rFonts w:ascii="宋体" w:hAnsi="宋体" w:hint="eastAsia"/>
                <w:bCs/>
                <w:szCs w:val="21"/>
              </w:rPr>
              <w:t>2008年</w:t>
            </w:r>
          </w:p>
        </w:tc>
        <w:tc>
          <w:tcPr>
            <w:tcW w:w="600" w:type="pct"/>
            <w:vAlign w:val="center"/>
          </w:tcPr>
          <w:p w:rsidR="00FF6CCE" w:rsidRDefault="00FF6CCE" w:rsidP="00FF6CCE">
            <w:pPr>
              <w:jc w:val="right"/>
              <w:rPr>
                <w:rFonts w:ascii="宋体" w:hAnsi="宋体" w:hint="eastAsia"/>
                <w:bCs/>
                <w:szCs w:val="21"/>
              </w:rPr>
            </w:pPr>
            <w:r>
              <w:rPr>
                <w:rFonts w:ascii="宋体" w:hAnsi="宋体" w:hint="eastAsia"/>
                <w:bCs/>
                <w:szCs w:val="21"/>
              </w:rPr>
              <w:t>2831</w:t>
            </w:r>
          </w:p>
        </w:tc>
        <w:tc>
          <w:tcPr>
            <w:tcW w:w="599" w:type="pct"/>
            <w:vAlign w:val="center"/>
          </w:tcPr>
          <w:p w:rsidR="00FF6CCE" w:rsidRDefault="00FF6CCE" w:rsidP="00FF6CCE">
            <w:pPr>
              <w:jc w:val="right"/>
              <w:rPr>
                <w:rFonts w:ascii="宋体" w:hAnsi="宋体" w:hint="eastAsia"/>
                <w:bCs/>
                <w:szCs w:val="21"/>
              </w:rPr>
            </w:pPr>
            <w:r>
              <w:rPr>
                <w:rFonts w:ascii="宋体" w:hAnsi="宋体" w:hint="eastAsia"/>
                <w:bCs/>
                <w:szCs w:val="21"/>
              </w:rPr>
              <w:t>692</w:t>
            </w:r>
          </w:p>
        </w:tc>
        <w:tc>
          <w:tcPr>
            <w:tcW w:w="797" w:type="pct"/>
            <w:vAlign w:val="center"/>
          </w:tcPr>
          <w:p w:rsidR="00FF6CCE" w:rsidRDefault="00FF6CCE" w:rsidP="00FF6CCE">
            <w:pPr>
              <w:jc w:val="right"/>
              <w:rPr>
                <w:rFonts w:ascii="宋体" w:hAnsi="宋体" w:hint="eastAsia"/>
                <w:bCs/>
                <w:szCs w:val="21"/>
              </w:rPr>
            </w:pPr>
            <w:r>
              <w:rPr>
                <w:rFonts w:ascii="宋体" w:hAnsi="宋体" w:hint="eastAsia"/>
                <w:bCs/>
                <w:szCs w:val="21"/>
              </w:rPr>
              <w:t>468</w:t>
            </w:r>
          </w:p>
        </w:tc>
        <w:tc>
          <w:tcPr>
            <w:tcW w:w="599" w:type="pct"/>
            <w:vAlign w:val="center"/>
          </w:tcPr>
          <w:p w:rsidR="00FF6CCE" w:rsidRDefault="00FF6CCE" w:rsidP="00FF6CCE">
            <w:pPr>
              <w:jc w:val="right"/>
              <w:rPr>
                <w:rFonts w:ascii="宋体" w:hAnsi="宋体" w:hint="eastAsia"/>
                <w:bCs/>
                <w:szCs w:val="21"/>
              </w:rPr>
            </w:pPr>
            <w:r>
              <w:rPr>
                <w:rFonts w:ascii="宋体" w:hAnsi="宋体" w:hint="eastAsia"/>
                <w:bCs/>
                <w:szCs w:val="21"/>
              </w:rPr>
              <w:t>1008</w:t>
            </w:r>
          </w:p>
        </w:tc>
        <w:tc>
          <w:tcPr>
            <w:tcW w:w="960" w:type="pct"/>
            <w:vAlign w:val="center"/>
          </w:tcPr>
          <w:p w:rsidR="00FF6CCE" w:rsidRDefault="00FF6CCE" w:rsidP="00FF6CCE">
            <w:pPr>
              <w:jc w:val="right"/>
              <w:rPr>
                <w:rFonts w:ascii="宋体" w:hAnsi="宋体" w:hint="eastAsia"/>
                <w:bCs/>
                <w:szCs w:val="21"/>
              </w:rPr>
            </w:pPr>
            <w:r>
              <w:rPr>
                <w:rFonts w:ascii="宋体" w:hAnsi="宋体" w:hint="eastAsia"/>
                <w:bCs/>
                <w:szCs w:val="21"/>
              </w:rPr>
              <w:t>335</w:t>
            </w:r>
          </w:p>
        </w:tc>
        <w:tc>
          <w:tcPr>
            <w:tcW w:w="598" w:type="pct"/>
            <w:vAlign w:val="center"/>
          </w:tcPr>
          <w:p w:rsidR="00FF6CCE" w:rsidRDefault="00FF6CCE" w:rsidP="00FF6CCE">
            <w:pPr>
              <w:jc w:val="right"/>
              <w:rPr>
                <w:rFonts w:ascii="宋体" w:hAnsi="宋体" w:hint="eastAsia"/>
                <w:bCs/>
                <w:szCs w:val="21"/>
              </w:rPr>
            </w:pPr>
            <w:r>
              <w:rPr>
                <w:rFonts w:ascii="宋体" w:hAnsi="宋体" w:hint="eastAsia"/>
                <w:bCs/>
                <w:szCs w:val="21"/>
              </w:rPr>
              <w:t>127</w:t>
            </w:r>
          </w:p>
        </w:tc>
      </w:tr>
      <w:tr w:rsidR="00FF6CCE" w:rsidTr="00FF6CCE">
        <w:trPr>
          <w:trHeight w:val="306"/>
          <w:jc w:val="center"/>
        </w:trPr>
        <w:tc>
          <w:tcPr>
            <w:tcW w:w="846" w:type="pct"/>
            <w:vAlign w:val="center"/>
          </w:tcPr>
          <w:p w:rsidR="00FF6CCE" w:rsidRDefault="00FF6CCE" w:rsidP="00FF6CCE">
            <w:pPr>
              <w:jc w:val="center"/>
              <w:rPr>
                <w:rFonts w:ascii="宋体" w:hAnsi="宋体" w:hint="eastAsia"/>
                <w:bCs/>
                <w:szCs w:val="21"/>
              </w:rPr>
            </w:pPr>
            <w:r>
              <w:rPr>
                <w:rFonts w:ascii="宋体" w:hAnsi="宋体" w:hint="eastAsia"/>
                <w:bCs/>
                <w:szCs w:val="21"/>
              </w:rPr>
              <w:t>2009年</w:t>
            </w:r>
          </w:p>
        </w:tc>
        <w:tc>
          <w:tcPr>
            <w:tcW w:w="600" w:type="pct"/>
            <w:vAlign w:val="center"/>
          </w:tcPr>
          <w:p w:rsidR="00FF6CCE" w:rsidRDefault="00FF6CCE" w:rsidP="00FF6CCE">
            <w:pPr>
              <w:jc w:val="right"/>
              <w:rPr>
                <w:rFonts w:ascii="宋体" w:hAnsi="宋体" w:hint="eastAsia"/>
                <w:bCs/>
                <w:szCs w:val="21"/>
              </w:rPr>
            </w:pPr>
            <w:r>
              <w:rPr>
                <w:rFonts w:ascii="宋体" w:hAnsi="宋体" w:hint="eastAsia"/>
                <w:bCs/>
                <w:szCs w:val="21"/>
              </w:rPr>
              <w:t>7131</w:t>
            </w:r>
          </w:p>
        </w:tc>
        <w:tc>
          <w:tcPr>
            <w:tcW w:w="599" w:type="pct"/>
            <w:vAlign w:val="center"/>
          </w:tcPr>
          <w:p w:rsidR="00FF6CCE" w:rsidRDefault="00FF6CCE" w:rsidP="00FF6CCE">
            <w:pPr>
              <w:jc w:val="right"/>
              <w:rPr>
                <w:rFonts w:ascii="宋体" w:hAnsi="宋体" w:hint="eastAsia"/>
                <w:bCs/>
                <w:szCs w:val="21"/>
              </w:rPr>
            </w:pPr>
            <w:r>
              <w:rPr>
                <w:rFonts w:ascii="宋体" w:hAnsi="宋体" w:hint="eastAsia"/>
                <w:bCs/>
                <w:szCs w:val="21"/>
              </w:rPr>
              <w:t>2196</w:t>
            </w:r>
          </w:p>
        </w:tc>
        <w:tc>
          <w:tcPr>
            <w:tcW w:w="797" w:type="pct"/>
            <w:vAlign w:val="center"/>
          </w:tcPr>
          <w:p w:rsidR="00FF6CCE" w:rsidRDefault="00FF6CCE" w:rsidP="00FF6CCE">
            <w:pPr>
              <w:jc w:val="right"/>
              <w:rPr>
                <w:rFonts w:ascii="宋体" w:hAnsi="宋体" w:hint="eastAsia"/>
                <w:bCs/>
                <w:szCs w:val="21"/>
              </w:rPr>
            </w:pPr>
            <w:r>
              <w:rPr>
                <w:rFonts w:ascii="宋体" w:hAnsi="宋体" w:hint="eastAsia"/>
                <w:bCs/>
                <w:szCs w:val="21"/>
              </w:rPr>
              <w:t>2280</w:t>
            </w:r>
          </w:p>
        </w:tc>
        <w:tc>
          <w:tcPr>
            <w:tcW w:w="599" w:type="pct"/>
            <w:vAlign w:val="center"/>
          </w:tcPr>
          <w:p w:rsidR="00FF6CCE" w:rsidRDefault="00FF6CCE" w:rsidP="00FF6CCE">
            <w:pPr>
              <w:jc w:val="right"/>
              <w:rPr>
                <w:rFonts w:ascii="宋体" w:hAnsi="宋体" w:hint="eastAsia"/>
                <w:bCs/>
                <w:szCs w:val="21"/>
              </w:rPr>
            </w:pPr>
            <w:r>
              <w:rPr>
                <w:rFonts w:ascii="宋体" w:hAnsi="宋体" w:hint="eastAsia"/>
                <w:bCs/>
                <w:szCs w:val="21"/>
              </w:rPr>
              <w:t>871</w:t>
            </w:r>
          </w:p>
        </w:tc>
        <w:tc>
          <w:tcPr>
            <w:tcW w:w="960" w:type="pct"/>
            <w:vAlign w:val="center"/>
          </w:tcPr>
          <w:p w:rsidR="00FF6CCE" w:rsidRDefault="00FF6CCE" w:rsidP="00FF6CCE">
            <w:pPr>
              <w:jc w:val="right"/>
              <w:rPr>
                <w:rFonts w:ascii="宋体" w:hAnsi="宋体" w:hint="eastAsia"/>
                <w:bCs/>
                <w:szCs w:val="21"/>
              </w:rPr>
            </w:pPr>
            <w:r>
              <w:rPr>
                <w:rFonts w:ascii="宋体" w:hAnsi="宋体" w:hint="eastAsia"/>
                <w:bCs/>
                <w:szCs w:val="21"/>
              </w:rPr>
              <w:t>368</w:t>
            </w:r>
          </w:p>
        </w:tc>
        <w:tc>
          <w:tcPr>
            <w:tcW w:w="598" w:type="pct"/>
            <w:vAlign w:val="center"/>
          </w:tcPr>
          <w:p w:rsidR="00FF6CCE" w:rsidRDefault="00FF6CCE" w:rsidP="00FF6CCE">
            <w:pPr>
              <w:jc w:val="right"/>
              <w:rPr>
                <w:rFonts w:ascii="宋体" w:hAnsi="宋体" w:hint="eastAsia"/>
                <w:bCs/>
                <w:szCs w:val="21"/>
              </w:rPr>
            </w:pPr>
            <w:r>
              <w:rPr>
                <w:rFonts w:ascii="宋体" w:hAnsi="宋体" w:hint="eastAsia"/>
                <w:bCs/>
                <w:szCs w:val="21"/>
              </w:rPr>
              <w:t>951</w:t>
            </w:r>
          </w:p>
        </w:tc>
      </w:tr>
      <w:tr w:rsidR="00FF6CCE" w:rsidTr="00FF6CCE">
        <w:trPr>
          <w:trHeight w:val="306"/>
          <w:jc w:val="center"/>
        </w:trPr>
        <w:tc>
          <w:tcPr>
            <w:tcW w:w="846" w:type="pct"/>
            <w:vAlign w:val="center"/>
          </w:tcPr>
          <w:p w:rsidR="00FF6CCE" w:rsidRDefault="00FF6CCE" w:rsidP="00FF6CCE">
            <w:pPr>
              <w:jc w:val="center"/>
              <w:rPr>
                <w:rFonts w:ascii="宋体" w:hAnsi="宋体" w:hint="eastAsia"/>
                <w:bCs/>
                <w:szCs w:val="21"/>
              </w:rPr>
            </w:pPr>
            <w:r>
              <w:rPr>
                <w:rFonts w:ascii="宋体" w:hAnsi="宋体" w:hint="eastAsia"/>
                <w:bCs/>
                <w:szCs w:val="21"/>
              </w:rPr>
              <w:t>2010年</w:t>
            </w:r>
          </w:p>
        </w:tc>
        <w:tc>
          <w:tcPr>
            <w:tcW w:w="600" w:type="pct"/>
            <w:vAlign w:val="center"/>
          </w:tcPr>
          <w:p w:rsidR="00FF6CCE" w:rsidRDefault="00FF6CCE" w:rsidP="00FF6CCE">
            <w:pPr>
              <w:jc w:val="right"/>
              <w:rPr>
                <w:rFonts w:ascii="宋体" w:hAnsi="宋体" w:hint="eastAsia"/>
                <w:bCs/>
                <w:szCs w:val="21"/>
              </w:rPr>
            </w:pPr>
            <w:r>
              <w:rPr>
                <w:rFonts w:ascii="宋体" w:hAnsi="宋体" w:hint="eastAsia"/>
                <w:bCs/>
                <w:szCs w:val="21"/>
              </w:rPr>
              <w:t>4519</w:t>
            </w:r>
          </w:p>
        </w:tc>
        <w:tc>
          <w:tcPr>
            <w:tcW w:w="599" w:type="pct"/>
            <w:vAlign w:val="center"/>
          </w:tcPr>
          <w:p w:rsidR="00FF6CCE" w:rsidRDefault="00FF6CCE" w:rsidP="00FF6CCE">
            <w:pPr>
              <w:jc w:val="right"/>
              <w:rPr>
                <w:rFonts w:ascii="宋体" w:hAnsi="宋体" w:hint="eastAsia"/>
                <w:bCs/>
                <w:szCs w:val="21"/>
              </w:rPr>
            </w:pPr>
            <w:r>
              <w:rPr>
                <w:rFonts w:ascii="宋体" w:hAnsi="宋体" w:hint="eastAsia"/>
                <w:bCs/>
                <w:szCs w:val="21"/>
              </w:rPr>
              <w:t>1422</w:t>
            </w:r>
          </w:p>
        </w:tc>
        <w:tc>
          <w:tcPr>
            <w:tcW w:w="797" w:type="pct"/>
            <w:vAlign w:val="center"/>
          </w:tcPr>
          <w:p w:rsidR="00FF6CCE" w:rsidRDefault="00FF6CCE" w:rsidP="00FF6CCE">
            <w:pPr>
              <w:jc w:val="right"/>
              <w:rPr>
                <w:rFonts w:ascii="宋体" w:hAnsi="宋体" w:hint="eastAsia"/>
                <w:bCs/>
                <w:szCs w:val="21"/>
              </w:rPr>
            </w:pPr>
            <w:r>
              <w:rPr>
                <w:rFonts w:ascii="宋体" w:hAnsi="宋体" w:hint="eastAsia"/>
                <w:bCs/>
                <w:szCs w:val="21"/>
              </w:rPr>
              <w:t>1338</w:t>
            </w:r>
          </w:p>
        </w:tc>
        <w:tc>
          <w:tcPr>
            <w:tcW w:w="599" w:type="pct"/>
            <w:vAlign w:val="center"/>
          </w:tcPr>
          <w:p w:rsidR="00FF6CCE" w:rsidRDefault="00FF6CCE" w:rsidP="00FF6CCE">
            <w:pPr>
              <w:jc w:val="right"/>
              <w:rPr>
                <w:rFonts w:ascii="宋体" w:hAnsi="宋体" w:hint="eastAsia"/>
                <w:bCs/>
                <w:szCs w:val="21"/>
              </w:rPr>
            </w:pPr>
            <w:r>
              <w:rPr>
                <w:rFonts w:ascii="宋体" w:hAnsi="宋体" w:hint="eastAsia"/>
                <w:bCs/>
                <w:szCs w:val="21"/>
              </w:rPr>
              <w:t>907</w:t>
            </w:r>
          </w:p>
        </w:tc>
        <w:tc>
          <w:tcPr>
            <w:tcW w:w="960" w:type="pct"/>
            <w:vAlign w:val="center"/>
          </w:tcPr>
          <w:p w:rsidR="00FF6CCE" w:rsidRDefault="00FF6CCE" w:rsidP="00FF6CCE">
            <w:pPr>
              <w:jc w:val="right"/>
              <w:rPr>
                <w:rFonts w:ascii="宋体" w:hAnsi="宋体" w:hint="eastAsia"/>
                <w:bCs/>
                <w:szCs w:val="21"/>
              </w:rPr>
            </w:pPr>
            <w:r>
              <w:rPr>
                <w:rFonts w:ascii="宋体" w:hAnsi="宋体" w:hint="eastAsia"/>
                <w:bCs/>
                <w:szCs w:val="21"/>
              </w:rPr>
              <w:t>340</w:t>
            </w:r>
          </w:p>
        </w:tc>
        <w:tc>
          <w:tcPr>
            <w:tcW w:w="598" w:type="pct"/>
            <w:vAlign w:val="center"/>
          </w:tcPr>
          <w:p w:rsidR="00FF6CCE" w:rsidRDefault="00FF6CCE" w:rsidP="00FF6CCE">
            <w:pPr>
              <w:jc w:val="right"/>
              <w:rPr>
                <w:rFonts w:ascii="宋体" w:hAnsi="宋体" w:hint="eastAsia"/>
                <w:bCs/>
                <w:szCs w:val="21"/>
              </w:rPr>
            </w:pPr>
            <w:r>
              <w:rPr>
                <w:rFonts w:ascii="宋体" w:hAnsi="宋体" w:hint="eastAsia"/>
                <w:bCs/>
                <w:szCs w:val="21"/>
              </w:rPr>
              <w:t>281</w:t>
            </w:r>
          </w:p>
        </w:tc>
      </w:tr>
      <w:tr w:rsidR="00FF6CCE" w:rsidTr="00FF6CCE">
        <w:trPr>
          <w:trHeight w:val="342"/>
          <w:jc w:val="center"/>
        </w:trPr>
        <w:tc>
          <w:tcPr>
            <w:tcW w:w="846" w:type="pct"/>
            <w:vAlign w:val="center"/>
          </w:tcPr>
          <w:p w:rsidR="00FF6CCE" w:rsidRDefault="00FF6CCE" w:rsidP="00FF6CCE">
            <w:pPr>
              <w:jc w:val="center"/>
              <w:rPr>
                <w:rFonts w:ascii="宋体" w:hAnsi="宋体" w:hint="eastAsia"/>
                <w:bCs/>
                <w:szCs w:val="21"/>
              </w:rPr>
            </w:pPr>
            <w:r>
              <w:rPr>
                <w:rFonts w:ascii="宋体" w:hAnsi="宋体" w:hint="eastAsia"/>
                <w:bCs/>
                <w:szCs w:val="21"/>
              </w:rPr>
              <w:t>2011年</w:t>
            </w:r>
          </w:p>
        </w:tc>
        <w:tc>
          <w:tcPr>
            <w:tcW w:w="600" w:type="pct"/>
            <w:vAlign w:val="center"/>
          </w:tcPr>
          <w:p w:rsidR="00FF6CCE" w:rsidRDefault="00FF6CCE" w:rsidP="00FF6CCE">
            <w:pPr>
              <w:jc w:val="right"/>
              <w:rPr>
                <w:rFonts w:ascii="宋体" w:hAnsi="宋体" w:hint="eastAsia"/>
                <w:bCs/>
                <w:szCs w:val="21"/>
              </w:rPr>
            </w:pPr>
            <w:r>
              <w:rPr>
                <w:rFonts w:ascii="宋体" w:hAnsi="宋体" w:hint="eastAsia"/>
                <w:bCs/>
                <w:szCs w:val="21"/>
              </w:rPr>
              <w:t>3996</w:t>
            </w:r>
          </w:p>
        </w:tc>
        <w:tc>
          <w:tcPr>
            <w:tcW w:w="599" w:type="pct"/>
            <w:vAlign w:val="center"/>
          </w:tcPr>
          <w:p w:rsidR="00FF6CCE" w:rsidRDefault="00FF6CCE" w:rsidP="00FF6CCE">
            <w:pPr>
              <w:jc w:val="right"/>
              <w:rPr>
                <w:rFonts w:ascii="宋体" w:hAnsi="宋体" w:hint="eastAsia"/>
                <w:bCs/>
                <w:szCs w:val="21"/>
              </w:rPr>
            </w:pPr>
            <w:r>
              <w:rPr>
                <w:rFonts w:ascii="宋体" w:hAnsi="宋体" w:hint="eastAsia"/>
                <w:bCs/>
                <w:szCs w:val="21"/>
              </w:rPr>
              <w:t>882</w:t>
            </w:r>
          </w:p>
        </w:tc>
        <w:tc>
          <w:tcPr>
            <w:tcW w:w="797" w:type="pct"/>
            <w:vAlign w:val="center"/>
          </w:tcPr>
          <w:p w:rsidR="00FF6CCE" w:rsidRDefault="00FF6CCE" w:rsidP="00FF6CCE">
            <w:pPr>
              <w:jc w:val="right"/>
              <w:rPr>
                <w:rFonts w:ascii="宋体" w:hAnsi="宋体" w:hint="eastAsia"/>
                <w:bCs/>
                <w:szCs w:val="21"/>
              </w:rPr>
            </w:pPr>
            <w:r>
              <w:rPr>
                <w:rFonts w:ascii="宋体" w:hAnsi="宋体" w:hint="eastAsia"/>
                <w:bCs/>
                <w:szCs w:val="21"/>
              </w:rPr>
              <w:t>1161</w:t>
            </w:r>
          </w:p>
        </w:tc>
        <w:tc>
          <w:tcPr>
            <w:tcW w:w="599" w:type="pct"/>
            <w:vAlign w:val="center"/>
          </w:tcPr>
          <w:p w:rsidR="00FF6CCE" w:rsidRDefault="00FF6CCE" w:rsidP="00FF6CCE">
            <w:pPr>
              <w:jc w:val="right"/>
              <w:rPr>
                <w:rFonts w:ascii="宋体" w:hAnsi="宋体" w:hint="eastAsia"/>
                <w:bCs/>
                <w:szCs w:val="21"/>
              </w:rPr>
            </w:pPr>
            <w:r>
              <w:rPr>
                <w:rFonts w:ascii="宋体" w:hAnsi="宋体" w:hint="eastAsia"/>
                <w:bCs/>
                <w:szCs w:val="21"/>
              </w:rPr>
              <w:t>1225</w:t>
            </w:r>
          </w:p>
        </w:tc>
        <w:tc>
          <w:tcPr>
            <w:tcW w:w="960" w:type="pct"/>
            <w:vAlign w:val="center"/>
          </w:tcPr>
          <w:p w:rsidR="00FF6CCE" w:rsidRDefault="00FF6CCE" w:rsidP="00FF6CCE">
            <w:pPr>
              <w:jc w:val="right"/>
              <w:rPr>
                <w:rFonts w:ascii="宋体" w:hAnsi="宋体" w:hint="eastAsia"/>
                <w:bCs/>
                <w:szCs w:val="21"/>
              </w:rPr>
            </w:pPr>
            <w:r>
              <w:rPr>
                <w:rFonts w:ascii="宋体" w:hAnsi="宋体" w:hint="eastAsia"/>
                <w:bCs/>
                <w:szCs w:val="21"/>
              </w:rPr>
              <w:t>260</w:t>
            </w:r>
          </w:p>
        </w:tc>
        <w:tc>
          <w:tcPr>
            <w:tcW w:w="598" w:type="pct"/>
            <w:vAlign w:val="center"/>
          </w:tcPr>
          <w:p w:rsidR="00FF6CCE" w:rsidRDefault="00FF6CCE" w:rsidP="00FF6CCE">
            <w:pPr>
              <w:jc w:val="right"/>
              <w:rPr>
                <w:rFonts w:ascii="宋体" w:hAnsi="宋体" w:hint="eastAsia"/>
                <w:bCs/>
                <w:szCs w:val="21"/>
              </w:rPr>
            </w:pPr>
            <w:r>
              <w:rPr>
                <w:rFonts w:ascii="宋体" w:hAnsi="宋体" w:hint="eastAsia"/>
                <w:bCs/>
                <w:szCs w:val="21"/>
              </w:rPr>
              <w:t>178</w:t>
            </w:r>
          </w:p>
        </w:tc>
      </w:tr>
    </w:tbl>
    <w:p w:rsidR="00FF6CCE" w:rsidRDefault="00FF6CCE" w:rsidP="00FF6CCE">
      <w:pPr>
        <w:pStyle w:val="a2"/>
        <w:ind w:left="840"/>
        <w:rPr>
          <w:rFonts w:hint="eastAsia"/>
        </w:rPr>
      </w:pPr>
      <w:r>
        <w:rPr>
          <w:rFonts w:hint="eastAsia"/>
        </w:rPr>
        <w:t>（资料来源：国际能源署</w:t>
      </w:r>
      <w:r>
        <w:rPr>
          <w:rFonts w:hint="eastAsia"/>
        </w:rPr>
        <w:t>2013</w:t>
      </w:r>
      <w:r>
        <w:rPr>
          <w:rFonts w:hint="eastAsia"/>
        </w:rPr>
        <w:t>；国家科学委员会</w:t>
      </w:r>
      <w:r>
        <w:t>2012</w:t>
      </w:r>
      <w:r>
        <w:rPr>
          <w:rFonts w:hint="eastAsia"/>
        </w:rPr>
        <w:t>。）</w:t>
      </w:r>
    </w:p>
    <w:p w:rsidR="00FF6CCE" w:rsidRDefault="00FF6CCE" w:rsidP="00FF6CCE">
      <w:pPr>
        <w:pStyle w:val="Heading3"/>
        <w:numPr>
          <w:ilvl w:val="2"/>
          <w:numId w:val="1"/>
        </w:numPr>
        <w:tabs>
          <w:tab w:val="clear" w:pos="720"/>
        </w:tabs>
      </w:pPr>
      <w:bookmarkStart w:id="240" w:name="_Toc15760"/>
      <w:bookmarkStart w:id="241" w:name="_Toc32705"/>
      <w:bookmarkStart w:id="242" w:name="_Toc392057051"/>
      <w:bookmarkStart w:id="243" w:name="_Toc392513025"/>
      <w:r>
        <w:rPr>
          <w:rFonts w:hint="eastAsia"/>
        </w:rPr>
        <w:t>清洁能源专利</w:t>
      </w:r>
      <w:bookmarkEnd w:id="240"/>
      <w:bookmarkEnd w:id="241"/>
      <w:bookmarkEnd w:id="242"/>
      <w:bookmarkEnd w:id="243"/>
    </w:p>
    <w:p w:rsidR="00FF6CCE" w:rsidRDefault="00FF6CCE" w:rsidP="00FF6CCE">
      <w:pPr>
        <w:ind w:firstLine="480"/>
        <w:rPr>
          <w:rFonts w:hint="eastAsia"/>
        </w:rPr>
      </w:pPr>
      <w:r>
        <w:rPr>
          <w:rFonts w:hint="eastAsia"/>
        </w:rPr>
        <w:t>由美国专利和商标局授予的清洁能源技术专利数量在</w:t>
      </w:r>
      <w:r>
        <w:t>2010</w:t>
      </w:r>
      <w:r>
        <w:rPr>
          <w:rFonts w:hint="eastAsia"/>
        </w:rPr>
        <w:t>年达到了创纪录水平，尽管该年度授予的专利中只有</w:t>
      </w:r>
      <w:r>
        <w:t>45%</w:t>
      </w:r>
      <w:r>
        <w:rPr>
          <w:rFonts w:hint="eastAsia"/>
        </w:rPr>
        <w:t>是授予美国本土发明人。美国专利和商标局已经实施了几项措施，加快审批程序，快速受理绿色技术的专利申请，这也许是专利数量增加的原因之一。在美国获得清洁能源专利的主要非美国发明人包括日本、欧盟和韩国。中国发明人拥有的美国授予的专利数量很少，</w:t>
      </w:r>
      <w:r>
        <w:t>2010</w:t>
      </w:r>
      <w:r>
        <w:rPr>
          <w:rFonts w:hint="eastAsia"/>
        </w:rPr>
        <w:t>年只有</w:t>
      </w:r>
      <w:r>
        <w:t>67</w:t>
      </w:r>
      <w:r>
        <w:rPr>
          <w:rFonts w:hint="eastAsia"/>
        </w:rPr>
        <w:t>项。</w:t>
      </w:r>
    </w:p>
    <w:p w:rsidR="00FF6CCE" w:rsidRDefault="00FF6CCE" w:rsidP="00FF6CCE">
      <w:pPr>
        <w:jc w:val="center"/>
      </w:pPr>
      <w:r>
        <w:rPr>
          <w:noProof/>
          <w:lang w:eastAsia="en-US"/>
        </w:rPr>
        <w:drawing>
          <wp:inline distT="0" distB="0" distL="0" distR="0">
            <wp:extent cx="4599940" cy="2306955"/>
            <wp:effectExtent l="0" t="0" r="0" b="4445"/>
            <wp:docPr id="39" name="Picture 1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99940" cy="2306955"/>
                    </a:xfrm>
                    <a:prstGeom prst="rect">
                      <a:avLst/>
                    </a:prstGeom>
                    <a:noFill/>
                    <a:ln>
                      <a:noFill/>
                    </a:ln>
                  </pic:spPr>
                </pic:pic>
              </a:graphicData>
            </a:graphic>
          </wp:inline>
        </w:drawing>
      </w:r>
    </w:p>
    <w:p w:rsidR="00FF6CCE" w:rsidRDefault="00FF6CCE" w:rsidP="00FF6CCE">
      <w:pPr>
        <w:pStyle w:val="a3"/>
        <w:numPr>
          <w:ilvl w:val="0"/>
          <w:numId w:val="11"/>
        </w:numPr>
        <w:tabs>
          <w:tab w:val="left" w:pos="1928"/>
        </w:tabs>
        <w:ind w:left="900" w:hanging="480"/>
      </w:pPr>
      <w:r>
        <w:rPr>
          <w:rFonts w:hint="eastAsia"/>
        </w:rPr>
        <w:t xml:space="preserve"> </w:t>
      </w:r>
      <w:bookmarkStart w:id="244" w:name="_Toc392513084"/>
      <w:r>
        <w:rPr>
          <w:rFonts w:hint="eastAsia"/>
        </w:rPr>
        <w:t>美国专利和商标局授予的清洁能源和污染控制领域的专利情况</w:t>
      </w:r>
      <w:bookmarkEnd w:id="244"/>
    </w:p>
    <w:p w:rsidR="00FF6CCE" w:rsidRDefault="00FF6CCE" w:rsidP="00FF6CCE">
      <w:pPr>
        <w:pStyle w:val="a2"/>
        <w:ind w:left="840"/>
      </w:pPr>
      <w:r>
        <w:rPr>
          <w:rFonts w:hint="eastAsia"/>
        </w:rPr>
        <w:t>（</w:t>
      </w:r>
      <w:r>
        <w:t>资料来源：国家科学委员会</w:t>
      </w:r>
      <w:r>
        <w:t>2012</w:t>
      </w:r>
      <w:r>
        <w:t>。</w:t>
      </w:r>
      <w:r>
        <w:rPr>
          <w:rFonts w:hint="eastAsia"/>
        </w:rPr>
        <w:t>）</w:t>
      </w:r>
    </w:p>
    <w:p w:rsidR="00FF6CCE" w:rsidRDefault="00FF6CCE" w:rsidP="00FF6CCE">
      <w:pPr>
        <w:ind w:firstLine="480"/>
      </w:pPr>
      <w:r>
        <w:rPr>
          <w:rFonts w:hint="eastAsia"/>
        </w:rPr>
        <w:t>在清洁能源领域里，绝大多数专利授予对象均是可替代能源技术领域（</w:t>
      </w:r>
      <w:r>
        <w:t>2993</w:t>
      </w:r>
      <w:r>
        <w:rPr>
          <w:rFonts w:hint="eastAsia"/>
        </w:rPr>
        <w:t>项专利），如图六和图七所示，燃料电池为该领域的主导技术（</w:t>
      </w:r>
      <w:r>
        <w:t>1031</w:t>
      </w:r>
      <w:r>
        <w:rPr>
          <w:rFonts w:hint="eastAsia"/>
        </w:rPr>
        <w:t>项专利）。之后的最大清洁能源专利领域是能源储存，拥有</w:t>
      </w:r>
      <w:r>
        <w:t>980</w:t>
      </w:r>
      <w:r>
        <w:rPr>
          <w:rFonts w:hint="eastAsia"/>
        </w:rPr>
        <w:t>项专利，其后是智能电网技术，</w:t>
      </w:r>
      <w:r>
        <w:t>528</w:t>
      </w:r>
      <w:r>
        <w:rPr>
          <w:rFonts w:hint="eastAsia"/>
        </w:rPr>
        <w:t>项专利。污染清理技术，包括控制空气和水污染的技术，以及清洁煤和</w:t>
      </w:r>
      <w:r>
        <w:t xml:space="preserve"> CCS </w:t>
      </w:r>
      <w:r>
        <w:rPr>
          <w:rFonts w:hint="eastAsia"/>
        </w:rPr>
        <w:t>碳捕捉和摧毁技术，和再生循环和固体垃圾管理技术是另一个申请专利的大范畴（</w:t>
      </w:r>
      <w:r>
        <w:t>2010</w:t>
      </w:r>
      <w:r>
        <w:rPr>
          <w:rFonts w:hint="eastAsia"/>
        </w:rPr>
        <w:t>年总计</w:t>
      </w:r>
      <w:r>
        <w:t>1887</w:t>
      </w:r>
      <w:r>
        <w:rPr>
          <w:rFonts w:hint="eastAsia"/>
        </w:rPr>
        <w:t>项专利）。在该范畴里，水污染处理技术占</w:t>
      </w:r>
      <w:r>
        <w:t>2010</w:t>
      </w:r>
      <w:r>
        <w:rPr>
          <w:rFonts w:hint="eastAsia"/>
        </w:rPr>
        <w:t>年授予的专利的最大份额（</w:t>
      </w:r>
      <w:r>
        <w:t>319</w:t>
      </w:r>
      <w:r>
        <w:rPr>
          <w:rFonts w:hint="eastAsia"/>
        </w:rPr>
        <w:t>项专利），接下来是循环技术（</w:t>
      </w:r>
      <w:r>
        <w:t>186</w:t>
      </w:r>
      <w:r>
        <w:rPr>
          <w:rFonts w:hint="eastAsia"/>
        </w:rPr>
        <w:t>项专利）、清洁煤（</w:t>
      </w:r>
      <w:r>
        <w:t>89</w:t>
      </w:r>
      <w:r>
        <w:rPr>
          <w:rFonts w:hint="eastAsia"/>
        </w:rPr>
        <w:t>项专利）和碳捕捉和摧毁技术（</w:t>
      </w:r>
      <w:r>
        <w:t>152</w:t>
      </w:r>
      <w:r>
        <w:rPr>
          <w:rFonts w:hint="eastAsia"/>
        </w:rPr>
        <w:t>项专利）。</w:t>
      </w:r>
    </w:p>
    <w:p w:rsidR="00FF6CCE" w:rsidRDefault="00FF6CCE" w:rsidP="00FF6CCE">
      <w:pPr>
        <w:ind w:firstLine="480"/>
        <w:jc w:val="center"/>
      </w:pPr>
      <w:r>
        <w:rPr>
          <w:noProof/>
          <w:lang w:eastAsia="en-US"/>
        </w:rPr>
        <w:drawing>
          <wp:inline distT="0" distB="0" distL="0" distR="0">
            <wp:extent cx="4599940" cy="2039620"/>
            <wp:effectExtent l="0" t="0" r="0" b="0"/>
            <wp:docPr id="40" name="Picture 18"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99940" cy="2039620"/>
                    </a:xfrm>
                    <a:prstGeom prst="rect">
                      <a:avLst/>
                    </a:prstGeom>
                    <a:noFill/>
                    <a:ln>
                      <a:noFill/>
                    </a:ln>
                  </pic:spPr>
                </pic:pic>
              </a:graphicData>
            </a:graphic>
          </wp:inline>
        </w:drawing>
      </w:r>
    </w:p>
    <w:p w:rsidR="00FF6CCE" w:rsidRDefault="00FF6CCE" w:rsidP="00FF6CCE">
      <w:pPr>
        <w:pStyle w:val="a3"/>
        <w:numPr>
          <w:ilvl w:val="0"/>
          <w:numId w:val="11"/>
        </w:numPr>
        <w:tabs>
          <w:tab w:val="left" w:pos="1928"/>
        </w:tabs>
        <w:ind w:left="900" w:hanging="480"/>
      </w:pPr>
      <w:bookmarkStart w:id="245" w:name="_Toc392513085"/>
      <w:r>
        <w:rPr>
          <w:rFonts w:hint="eastAsia"/>
        </w:rPr>
        <w:t>按技术领域分类，清洁能源专利</w:t>
      </w:r>
      <w:bookmarkEnd w:id="245"/>
    </w:p>
    <w:p w:rsidR="00FF6CCE" w:rsidRDefault="00FF6CCE" w:rsidP="00FF6CCE">
      <w:pPr>
        <w:pStyle w:val="a2"/>
        <w:ind w:left="840"/>
      </w:pPr>
      <w:r>
        <w:rPr>
          <w:rFonts w:hint="eastAsia"/>
        </w:rPr>
        <w:t>（</w:t>
      </w:r>
      <w:r>
        <w:t>资料来源：国家科学委员会</w:t>
      </w:r>
      <w:r>
        <w:t>2012</w:t>
      </w:r>
      <w:r>
        <w:t>。</w:t>
      </w:r>
      <w:r>
        <w:rPr>
          <w:rFonts w:hint="eastAsia"/>
        </w:rPr>
        <w:t>）</w:t>
      </w:r>
    </w:p>
    <w:p w:rsidR="00FF6CCE" w:rsidRDefault="00FF6CCE" w:rsidP="00FF6CCE">
      <w:pPr>
        <w:ind w:firstLine="480"/>
        <w:jc w:val="center"/>
        <w:rPr>
          <w:rFonts w:hint="eastAsia"/>
        </w:rPr>
      </w:pPr>
    </w:p>
    <w:p w:rsidR="00FF6CCE" w:rsidRDefault="00FF6CCE" w:rsidP="00FF6CCE">
      <w:pPr>
        <w:ind w:firstLine="480"/>
        <w:jc w:val="center"/>
      </w:pPr>
      <w:r>
        <w:rPr>
          <w:rFonts w:hint="eastAsia"/>
          <w:noProof/>
          <w:lang w:eastAsia="en-US"/>
        </w:rPr>
        <w:drawing>
          <wp:inline distT="0" distB="0" distL="0" distR="0">
            <wp:extent cx="5486400" cy="1477010"/>
            <wp:effectExtent l="0" t="0" r="0" b="0"/>
            <wp:docPr id="41" name="Picture 19"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1477010"/>
                    </a:xfrm>
                    <a:prstGeom prst="rect">
                      <a:avLst/>
                    </a:prstGeom>
                    <a:noFill/>
                    <a:ln>
                      <a:noFill/>
                    </a:ln>
                  </pic:spPr>
                </pic:pic>
              </a:graphicData>
            </a:graphic>
          </wp:inline>
        </w:drawing>
      </w:r>
    </w:p>
    <w:p w:rsidR="00FF6CCE" w:rsidRDefault="00FF6CCE" w:rsidP="00FF6CCE">
      <w:pPr>
        <w:pStyle w:val="a3"/>
        <w:numPr>
          <w:ilvl w:val="0"/>
          <w:numId w:val="11"/>
        </w:numPr>
        <w:tabs>
          <w:tab w:val="left" w:pos="1928"/>
        </w:tabs>
        <w:ind w:left="900" w:hanging="480"/>
        <w:rPr>
          <w:rFonts w:hint="eastAsia"/>
        </w:rPr>
      </w:pPr>
      <w:bookmarkStart w:id="246" w:name="_Toc392513086"/>
      <w:r>
        <w:rPr>
          <w:rFonts w:hint="eastAsia"/>
        </w:rPr>
        <w:t>特定技术领域内的清洁能源专利下降</w:t>
      </w:r>
      <w:bookmarkEnd w:id="246"/>
    </w:p>
    <w:p w:rsidR="00FF6CCE" w:rsidRDefault="00FF6CCE" w:rsidP="00FF6CCE">
      <w:pPr>
        <w:pStyle w:val="a2"/>
        <w:ind w:left="840"/>
      </w:pPr>
      <w:r>
        <w:rPr>
          <w:rFonts w:hint="eastAsia"/>
        </w:rPr>
        <w:t>（</w:t>
      </w:r>
      <w:r>
        <w:t>资料来源：国家科学委员会</w:t>
      </w:r>
      <w:r>
        <w:t>2012</w:t>
      </w:r>
      <w:r>
        <w:t>。</w:t>
      </w:r>
      <w:r>
        <w:rPr>
          <w:rFonts w:hint="eastAsia"/>
        </w:rPr>
        <w:t>）</w:t>
      </w:r>
    </w:p>
    <w:p w:rsidR="00FF6CCE" w:rsidRDefault="00FF6CCE" w:rsidP="00FF6CCE">
      <w:pPr>
        <w:pStyle w:val="Caption"/>
      </w:pPr>
      <w:r>
        <w:rPr>
          <w:noProof/>
          <w:lang w:eastAsia="en-US"/>
        </w:rPr>
        <w:drawing>
          <wp:inline distT="0" distB="0" distL="0" distR="0">
            <wp:extent cx="4515485" cy="2729230"/>
            <wp:effectExtent l="0" t="0" r="5715" b="0"/>
            <wp:docPr id="42" name="Picture 20"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15485" cy="2729230"/>
                    </a:xfrm>
                    <a:prstGeom prst="rect">
                      <a:avLst/>
                    </a:prstGeom>
                    <a:noFill/>
                    <a:ln>
                      <a:noFill/>
                    </a:ln>
                  </pic:spPr>
                </pic:pic>
              </a:graphicData>
            </a:graphic>
          </wp:inline>
        </w:drawing>
      </w:r>
    </w:p>
    <w:p w:rsidR="00FF6CCE" w:rsidRDefault="00FF6CCE" w:rsidP="00FF6CCE">
      <w:pPr>
        <w:pStyle w:val="a3"/>
        <w:numPr>
          <w:ilvl w:val="0"/>
          <w:numId w:val="11"/>
        </w:numPr>
        <w:tabs>
          <w:tab w:val="left" w:pos="1928"/>
        </w:tabs>
        <w:ind w:left="900" w:hanging="480"/>
      </w:pPr>
      <w:bookmarkStart w:id="247" w:name="_Toc392513087"/>
      <w:r>
        <w:rPr>
          <w:rFonts w:hint="eastAsia"/>
        </w:rPr>
        <w:t>按不同技术领域划分的美国专利商标局清洁能源专利</w:t>
      </w:r>
      <w:bookmarkEnd w:id="247"/>
    </w:p>
    <w:p w:rsidR="00FF6CCE" w:rsidRDefault="00FF6CCE" w:rsidP="00FF6CCE">
      <w:pPr>
        <w:pStyle w:val="a2"/>
        <w:ind w:left="840"/>
      </w:pPr>
      <w:r>
        <w:t xml:space="preserve">USPTO = </w:t>
      </w:r>
      <w:r>
        <w:rPr>
          <w:rFonts w:hint="eastAsia"/>
        </w:rPr>
        <w:t>美国专利商标局</w:t>
      </w:r>
      <w:r>
        <w:t>(</w:t>
      </w:r>
      <w:r>
        <w:rPr>
          <w:rFonts w:hint="eastAsia"/>
        </w:rPr>
        <w:t>在美国注册的商标</w:t>
      </w:r>
      <w:r>
        <w:t>)</w:t>
      </w:r>
    </w:p>
    <w:p w:rsidR="00FF6CCE" w:rsidRDefault="00FF6CCE" w:rsidP="00FF6CCE">
      <w:pPr>
        <w:pStyle w:val="a2"/>
        <w:ind w:left="840"/>
        <w:rPr>
          <w:rFonts w:hint="eastAsia"/>
        </w:rPr>
      </w:pPr>
      <w:r>
        <w:rPr>
          <w:rFonts w:hint="eastAsia"/>
        </w:rPr>
        <w:t>（</w:t>
      </w:r>
      <w:r>
        <w:t>资料来源：国家科学委员会</w:t>
      </w:r>
      <w:r>
        <w:t>2012</w:t>
      </w:r>
      <w:r>
        <w:t>。</w:t>
      </w:r>
      <w:r>
        <w:rPr>
          <w:rFonts w:hint="eastAsia"/>
        </w:rPr>
        <w:t>）</w:t>
      </w:r>
    </w:p>
    <w:p w:rsidR="00FF6CCE" w:rsidRDefault="00FF6CCE" w:rsidP="00FF6CCE">
      <w:pPr>
        <w:ind w:firstLine="480"/>
        <w:rPr>
          <w:rFonts w:hint="eastAsia"/>
        </w:rPr>
      </w:pPr>
    </w:p>
    <w:p w:rsidR="00FF6CCE" w:rsidRDefault="00FF6CCE" w:rsidP="00FF6CCE">
      <w:pPr>
        <w:ind w:firstLine="480"/>
      </w:pPr>
      <w:r>
        <w:rPr>
          <w:rFonts w:hint="eastAsia"/>
        </w:rPr>
        <w:t>上图表示了长期以来美国专利系统自</w:t>
      </w:r>
      <w:r>
        <w:t>1995</w:t>
      </w:r>
      <w:r>
        <w:rPr>
          <w:rFonts w:hint="eastAsia"/>
        </w:rPr>
        <w:t>年至</w:t>
      </w:r>
      <w:r>
        <w:t>2010</w:t>
      </w:r>
      <w:r>
        <w:rPr>
          <w:rFonts w:hint="eastAsia"/>
        </w:rPr>
        <w:t>年的专利申请情况，以及在该段时期内申请专利技术的重心跨越到了清洁能源技术。尤其值得注意的是自</w:t>
      </w:r>
      <w:r>
        <w:t>2008</w:t>
      </w:r>
      <w:r>
        <w:rPr>
          <w:rFonts w:hint="eastAsia"/>
        </w:rPr>
        <w:t>年起与太阳能有关的专利数量快速增加，尽管自该年起几乎所有清洁能源领域的专利申请活动均有增加。</w:t>
      </w:r>
      <w:r>
        <w:t xml:space="preserve"> </w:t>
      </w:r>
      <w:r>
        <w:rPr>
          <w:rFonts w:hint="eastAsia"/>
        </w:rPr>
        <w:t>这一数量快速增加部分可归于</w:t>
      </w:r>
      <w:r>
        <w:t>2009</w:t>
      </w:r>
      <w:r>
        <w:rPr>
          <w:rFonts w:hint="eastAsia"/>
        </w:rPr>
        <w:t>年美国专利和商标局推出的快速处理绿色技术专利申请的计划。根据该项计划，某些“绿色技术”包括“与环境质量、能源节约、可再生能源资源的开发、或温室气体减排”有关的技术专利申请也可得到快速审理（商务部，美国专利和商标局</w:t>
      </w:r>
      <w:r>
        <w:t xml:space="preserve"> 2009</w:t>
      </w:r>
      <w:r>
        <w:rPr>
          <w:rFonts w:hint="eastAsia"/>
        </w:rPr>
        <w:t>年）。</w:t>
      </w:r>
      <w:r>
        <w:t xml:space="preserve"> </w:t>
      </w:r>
      <w:r>
        <w:rPr>
          <w:rFonts w:hint="eastAsia"/>
        </w:rPr>
        <w:t>该项计划自那时起被中止（商务部，美国专利和商标局</w:t>
      </w:r>
      <w:r>
        <w:t xml:space="preserve"> 2012</w:t>
      </w:r>
      <w:r>
        <w:rPr>
          <w:rFonts w:hint="eastAsia"/>
        </w:rPr>
        <w:t>年）</w:t>
      </w:r>
    </w:p>
    <w:p w:rsidR="00FF6CCE" w:rsidRDefault="00FF6CCE" w:rsidP="00FF6CCE">
      <w:pPr>
        <w:ind w:firstLine="480"/>
      </w:pPr>
      <w:r>
        <w:rPr>
          <w:rFonts w:hint="eastAsia"/>
        </w:rPr>
        <w:t>根据某一特殊地理区域或国家在其它技术领域里做出的贡献来评估该特殊地理区域或国家在清洁能源领域做出的贡献的一个方法是专利技术活动指数。由</w:t>
      </w:r>
      <w:r>
        <w:t xml:space="preserve">NSF </w:t>
      </w:r>
      <w:r>
        <w:rPr>
          <w:rFonts w:hint="eastAsia"/>
        </w:rPr>
        <w:t>公布的专利技术活动指数衡量着某一具体国家在某一具体清洁能源领域里所拥有的专利份额与其在涵盖所有清洁能源技术范畴的专利世界份额之比，若比例超过一，则预示这一特定区域的专利是集中于某一特定技术方面的。</w:t>
      </w:r>
    </w:p>
    <w:p w:rsidR="00FF6CCE" w:rsidRDefault="00FF6CCE" w:rsidP="00FF6CCE">
      <w:pPr>
        <w:ind w:firstLine="480"/>
      </w:pPr>
      <w:r>
        <w:rPr>
          <w:rFonts w:hint="eastAsia"/>
        </w:rPr>
        <w:t>下图所示，与其它国家的相比，美国的专利在清洁煤、生物质能和智能电网技术领域及水处理技术、氢气电能及太阳能技术里的集中度很高。欧盟的专利在风电、核电和碳捕捉及摧毁技术方面，以及空气污染处理和固体垃圾处理技术方面的集中度高。日本的专利集中于混合电动汽车和燃料电池技术领域。与其它国家的相比，韩国的专利仅在电池领域里集中度高，但是其集中度相比而言高出许多。</w:t>
      </w:r>
    </w:p>
    <w:p w:rsidR="00FF6CCE" w:rsidRDefault="00FF6CCE" w:rsidP="00FF6CCE">
      <w:pPr>
        <w:autoSpaceDE w:val="0"/>
        <w:autoSpaceDN w:val="0"/>
        <w:adjustRightInd w:val="0"/>
        <w:spacing w:after="240"/>
        <w:jc w:val="center"/>
        <w:rPr>
          <w:rFonts w:hint="eastAsia"/>
        </w:rPr>
      </w:pPr>
      <w:r>
        <w:rPr>
          <w:rFonts w:hint="eastAsia"/>
          <w:noProof/>
          <w:lang w:eastAsia="en-US"/>
        </w:rPr>
        <w:drawing>
          <wp:inline distT="0" distB="0" distL="0" distR="0">
            <wp:extent cx="4318635" cy="2433955"/>
            <wp:effectExtent l="0" t="0" r="0" b="4445"/>
            <wp:docPr id="43" name="Picture 21"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18635" cy="2433955"/>
                    </a:xfrm>
                    <a:prstGeom prst="rect">
                      <a:avLst/>
                    </a:prstGeom>
                    <a:noFill/>
                    <a:ln>
                      <a:noFill/>
                    </a:ln>
                  </pic:spPr>
                </pic:pic>
              </a:graphicData>
            </a:graphic>
          </wp:inline>
        </w:drawing>
      </w:r>
    </w:p>
    <w:p w:rsidR="00FF6CCE" w:rsidRDefault="00FF6CCE" w:rsidP="00FF6CCE">
      <w:pPr>
        <w:pStyle w:val="a3"/>
        <w:numPr>
          <w:ilvl w:val="0"/>
          <w:numId w:val="11"/>
        </w:numPr>
        <w:tabs>
          <w:tab w:val="clear" w:pos="480"/>
          <w:tab w:val="left" w:pos="0"/>
        </w:tabs>
        <w:ind w:left="900" w:hanging="480"/>
      </w:pPr>
      <w:bookmarkStart w:id="248" w:name="_Toc392513088"/>
      <w:r>
        <w:rPr>
          <w:rFonts w:cs="宋体" w:hint="eastAsia"/>
        </w:rPr>
        <w:t>涵盖主要清洁能源专利申请国家和技术的专利技术活动指数</w:t>
      </w:r>
      <w:bookmarkEnd w:id="248"/>
    </w:p>
    <w:p w:rsidR="00FF6CCE" w:rsidRDefault="00FF6CCE" w:rsidP="00FF6CCE">
      <w:pPr>
        <w:pStyle w:val="a2"/>
        <w:ind w:left="840"/>
        <w:rPr>
          <w:rFonts w:hint="eastAsia"/>
        </w:rPr>
      </w:pPr>
      <w:r>
        <w:rPr>
          <w:rFonts w:hint="eastAsia"/>
        </w:rPr>
        <w:t>(</w:t>
      </w:r>
      <w:r>
        <w:rPr>
          <w:rFonts w:hint="eastAsia"/>
        </w:rPr>
        <w:t>注：指数是根据平均在</w:t>
      </w:r>
      <w:r>
        <w:t>20</w:t>
      </w:r>
      <w:r>
        <w:rPr>
          <w:rFonts w:hint="eastAsia"/>
        </w:rPr>
        <w:t>0</w:t>
      </w:r>
      <w:r>
        <w:t>7-2010</w:t>
      </w:r>
      <w:r>
        <w:rPr>
          <w:rFonts w:hint="eastAsia"/>
        </w:rPr>
        <w:t>年之间的专利活动。</w:t>
      </w:r>
      <w:r>
        <w:rPr>
          <w:rFonts w:hint="eastAsia"/>
        </w:rPr>
        <w:t>)</w:t>
      </w:r>
    </w:p>
    <w:p w:rsidR="00FF6CCE" w:rsidRDefault="00FF6CCE" w:rsidP="00FF6CCE">
      <w:pPr>
        <w:pStyle w:val="a2"/>
        <w:ind w:left="840"/>
      </w:pPr>
      <w:r>
        <w:rPr>
          <w:rFonts w:hint="eastAsia"/>
        </w:rPr>
        <w:t>（</w:t>
      </w:r>
      <w:r>
        <w:t>资料来源：</w:t>
      </w:r>
      <w:r>
        <w:rPr>
          <w:rFonts w:hint="eastAsia"/>
        </w:rPr>
        <w:t>摘自</w:t>
      </w:r>
      <w:r>
        <w:t>国家科学委员会</w:t>
      </w:r>
      <w:r>
        <w:t>2012</w:t>
      </w:r>
      <w:r>
        <w:t>。</w:t>
      </w:r>
      <w:r>
        <w:rPr>
          <w:rFonts w:hint="eastAsia"/>
        </w:rPr>
        <w:t>）</w:t>
      </w:r>
    </w:p>
    <w:p w:rsidR="00FF6CCE" w:rsidRDefault="00FF6CCE" w:rsidP="00FF6CCE">
      <w:pPr>
        <w:pStyle w:val="Heading2"/>
      </w:pPr>
      <w:bookmarkStart w:id="249" w:name="_Toc16350"/>
      <w:bookmarkStart w:id="250" w:name="_Toc15443"/>
      <w:bookmarkStart w:id="251" w:name="_Toc392057052"/>
      <w:bookmarkStart w:id="252" w:name="_Toc392513026"/>
      <w:r>
        <w:rPr>
          <w:rFonts w:hint="eastAsia"/>
        </w:rPr>
        <w:t>扶持开展清洁能源的关键政策</w:t>
      </w:r>
      <w:bookmarkEnd w:id="249"/>
      <w:bookmarkEnd w:id="250"/>
      <w:bookmarkEnd w:id="251"/>
      <w:bookmarkEnd w:id="252"/>
    </w:p>
    <w:p w:rsidR="00FF6CCE" w:rsidRDefault="00FF6CCE" w:rsidP="00FF6CCE">
      <w:pPr>
        <w:autoSpaceDE w:val="0"/>
        <w:autoSpaceDN w:val="0"/>
        <w:adjustRightInd w:val="0"/>
        <w:spacing w:after="240"/>
        <w:ind w:firstLine="480"/>
      </w:pPr>
      <w:r>
        <w:rPr>
          <w:rFonts w:cs="宋体" w:hint="eastAsia"/>
        </w:rPr>
        <w:t>在过去的几年中，美国最有意义的扶持清洁能源发展的政策工具是随着全球金融危机而采取的措施。</w:t>
      </w:r>
      <w:r>
        <w:t xml:space="preserve"> ARRA </w:t>
      </w:r>
      <w:r>
        <w:rPr>
          <w:rFonts w:cs="宋体" w:hint="eastAsia"/>
        </w:rPr>
        <w:t>中的一个核心是政府投资的超过</w:t>
      </w:r>
      <w:r>
        <w:t>900</w:t>
      </w:r>
      <w:r>
        <w:rPr>
          <w:rFonts w:cs="宋体" w:hint="eastAsia"/>
        </w:rPr>
        <w:t>亿美元以及给予清洁能源的税务奖励，加上可再生能源发电、能源效率提高（例如不受天气影响）及交通（包括高速铁路）方面的最大一笔投资。美国的</w:t>
      </w:r>
      <w:r>
        <w:t xml:space="preserve">ARRA </w:t>
      </w:r>
      <w:r>
        <w:rPr>
          <w:rFonts w:cs="宋体" w:hint="eastAsia"/>
        </w:rPr>
        <w:t>投资中绿色能源投资的</w:t>
      </w:r>
      <w:r>
        <w:t>29%</w:t>
      </w:r>
      <w:r>
        <w:rPr>
          <w:rFonts w:cs="宋体" w:hint="eastAsia"/>
        </w:rPr>
        <w:t>投向了可再生能源。</w:t>
      </w:r>
    </w:p>
    <w:p w:rsidR="00FF6CCE" w:rsidRDefault="00FF6CCE" w:rsidP="00FF6CCE">
      <w:pPr>
        <w:ind w:firstLine="480"/>
        <w:rPr>
          <w:rFonts w:cs="宋体" w:hint="eastAsia"/>
        </w:rPr>
      </w:pPr>
      <w:r>
        <w:rPr>
          <w:rFonts w:cs="宋体" w:hint="eastAsia"/>
        </w:rPr>
        <w:t>其它关键政策包括联邦政府给予可再生能源的保护性税收减免</w:t>
      </w:r>
      <w:r>
        <w:rPr>
          <w:rFonts w:cs="宋体" w:hint="eastAsia"/>
        </w:rPr>
        <w:t>(PTC)</w:t>
      </w:r>
      <w:r>
        <w:rPr>
          <w:rFonts w:cs="宋体" w:hint="eastAsia"/>
        </w:rPr>
        <w:t>及</w:t>
      </w:r>
      <w:r>
        <w:rPr>
          <w:rFonts w:cs="宋体" w:hint="eastAsia"/>
        </w:rPr>
        <w:t xml:space="preserve"> ARRA Section 1603 </w:t>
      </w:r>
      <w:r>
        <w:rPr>
          <w:rFonts w:cs="宋体" w:hint="eastAsia"/>
        </w:rPr>
        <w:t>投资税收减免。</w:t>
      </w:r>
      <w:r>
        <w:rPr>
          <w:rFonts w:cs="宋体" w:hint="eastAsia"/>
        </w:rPr>
        <w:t xml:space="preserve"> </w:t>
      </w:r>
      <w:r>
        <w:rPr>
          <w:rFonts w:cs="宋体" w:hint="eastAsia"/>
        </w:rPr>
        <w:t>联邦政府的</w:t>
      </w:r>
      <w:r>
        <w:rPr>
          <w:rFonts w:cs="宋体" w:hint="eastAsia"/>
        </w:rPr>
        <w:t xml:space="preserve"> PTC </w:t>
      </w:r>
      <w:r>
        <w:rPr>
          <w:rFonts w:cs="宋体" w:hint="eastAsia"/>
        </w:rPr>
        <w:t>在</w:t>
      </w:r>
      <w:r>
        <w:rPr>
          <w:rFonts w:cs="宋体" w:hint="eastAsia"/>
        </w:rPr>
        <w:t>2010</w:t>
      </w:r>
      <w:r>
        <w:rPr>
          <w:rFonts w:cs="宋体" w:hint="eastAsia"/>
        </w:rPr>
        <w:t>年至</w:t>
      </w:r>
      <w:r>
        <w:rPr>
          <w:rFonts w:cs="宋体" w:hint="eastAsia"/>
        </w:rPr>
        <w:t>2012</w:t>
      </w:r>
      <w:r>
        <w:rPr>
          <w:rFonts w:cs="宋体" w:hint="eastAsia"/>
        </w:rPr>
        <w:t>年</w:t>
      </w:r>
      <w:r>
        <w:rPr>
          <w:rFonts w:cs="宋体" w:hint="eastAsia"/>
        </w:rPr>
        <w:t>(</w:t>
      </w:r>
      <w:r>
        <w:rPr>
          <w:rFonts w:cs="宋体" w:hint="eastAsia"/>
        </w:rPr>
        <w:t>根据通胀率调整后的</w:t>
      </w:r>
      <w:r>
        <w:rPr>
          <w:rFonts w:cs="宋体" w:hint="eastAsia"/>
        </w:rPr>
        <w:t>)</w:t>
      </w:r>
      <w:r>
        <w:rPr>
          <w:rFonts w:cs="宋体" w:hint="eastAsia"/>
        </w:rPr>
        <w:t>对所有</w:t>
      </w:r>
      <w:r>
        <w:rPr>
          <w:rFonts w:cs="宋体" w:hint="eastAsia"/>
        </w:rPr>
        <w:t>2012</w:t>
      </w:r>
      <w:r>
        <w:rPr>
          <w:rFonts w:cs="宋体" w:hint="eastAsia"/>
        </w:rPr>
        <w:t>年年底以前运行的风电场每度电给予</w:t>
      </w:r>
      <w:r>
        <w:rPr>
          <w:rFonts w:cs="宋体" w:hint="eastAsia"/>
        </w:rPr>
        <w:t xml:space="preserve"> 0.022 </w:t>
      </w:r>
      <w:r>
        <w:rPr>
          <w:rFonts w:cs="宋体" w:hint="eastAsia"/>
        </w:rPr>
        <w:t>美元的减免</w:t>
      </w:r>
      <w:r>
        <w:rPr>
          <w:rFonts w:cs="宋体" w:hint="eastAsia"/>
        </w:rPr>
        <w:t xml:space="preserve"> (</w:t>
      </w:r>
      <w:r>
        <w:rPr>
          <w:rFonts w:cs="宋体" w:hint="eastAsia"/>
        </w:rPr>
        <w:t>全球风力能源理事会</w:t>
      </w:r>
      <w:r>
        <w:rPr>
          <w:rFonts w:cs="宋体" w:hint="eastAsia"/>
        </w:rPr>
        <w:t>)( GWEC)</w:t>
      </w:r>
      <w:r>
        <w:rPr>
          <w:rFonts w:cs="宋体" w:hint="eastAsia"/>
        </w:rPr>
        <w:t>及国际可再生能源机构</w:t>
      </w:r>
      <w:r>
        <w:rPr>
          <w:rFonts w:cs="宋体" w:hint="eastAsia"/>
        </w:rPr>
        <w:t>(IRENA) 2012)</w:t>
      </w:r>
      <w:r>
        <w:rPr>
          <w:rFonts w:cs="宋体" w:hint="eastAsia"/>
        </w:rPr>
        <w:t>。</w:t>
      </w:r>
      <w:r>
        <w:rPr>
          <w:rFonts w:cs="宋体" w:hint="eastAsia"/>
        </w:rPr>
        <w:t xml:space="preserve"> ITC </w:t>
      </w:r>
      <w:r>
        <w:rPr>
          <w:rFonts w:cs="宋体" w:hint="eastAsia"/>
        </w:rPr>
        <w:t>允许风电项目享受</w:t>
      </w:r>
      <w:r>
        <w:rPr>
          <w:rFonts w:cs="宋体" w:hint="eastAsia"/>
        </w:rPr>
        <w:t xml:space="preserve"> 30%</w:t>
      </w:r>
      <w:r>
        <w:rPr>
          <w:rFonts w:cs="宋体" w:hint="eastAsia"/>
        </w:rPr>
        <w:t>的投资税收减免</w:t>
      </w:r>
      <w:r>
        <w:rPr>
          <w:rFonts w:cs="宋体" w:hint="eastAsia"/>
        </w:rPr>
        <w:t>,</w:t>
      </w:r>
      <w:r>
        <w:rPr>
          <w:rFonts w:cs="宋体" w:hint="eastAsia"/>
        </w:rPr>
        <w:t>用以取代</w:t>
      </w:r>
      <w:r>
        <w:rPr>
          <w:rFonts w:cs="宋体" w:hint="eastAsia"/>
        </w:rPr>
        <w:t xml:space="preserve"> PTC</w:t>
      </w:r>
      <w:r>
        <w:rPr>
          <w:rFonts w:cs="宋体" w:hint="eastAsia"/>
        </w:rPr>
        <w:t>。</w:t>
      </w:r>
      <w:r>
        <w:rPr>
          <w:rFonts w:cs="宋体" w:hint="eastAsia"/>
        </w:rPr>
        <w:t xml:space="preserve"> </w:t>
      </w:r>
      <w:r>
        <w:rPr>
          <w:rFonts w:cs="宋体" w:hint="eastAsia"/>
        </w:rPr>
        <w:t>对于</w:t>
      </w:r>
      <w:r>
        <w:rPr>
          <w:rFonts w:cs="宋体" w:hint="eastAsia"/>
        </w:rPr>
        <w:t>2011</w:t>
      </w:r>
      <w:r>
        <w:rPr>
          <w:rFonts w:cs="宋体" w:hint="eastAsia"/>
        </w:rPr>
        <w:t>年年底以前开工建设、</w:t>
      </w:r>
      <w:r>
        <w:rPr>
          <w:rFonts w:cs="宋体" w:hint="eastAsia"/>
        </w:rPr>
        <w:t>2013</w:t>
      </w:r>
      <w:r>
        <w:rPr>
          <w:rFonts w:cs="宋体" w:hint="eastAsia"/>
        </w:rPr>
        <w:t>年以前投入服务的风电项目，开发商可选择从财政部获得一笔等值于</w:t>
      </w:r>
      <w:r>
        <w:rPr>
          <w:rFonts w:cs="宋体" w:hint="eastAsia"/>
        </w:rPr>
        <w:t xml:space="preserve"> ITC </w:t>
      </w:r>
      <w:r>
        <w:rPr>
          <w:rFonts w:cs="宋体" w:hint="eastAsia"/>
        </w:rPr>
        <w:t>的现金款项，取代</w:t>
      </w:r>
      <w:r>
        <w:rPr>
          <w:rFonts w:cs="宋体" w:hint="eastAsia"/>
        </w:rPr>
        <w:t xml:space="preserve"> PTC</w:t>
      </w:r>
      <w:r>
        <w:rPr>
          <w:rFonts w:cs="宋体" w:hint="eastAsia"/>
        </w:rPr>
        <w:t>。</w:t>
      </w:r>
      <w:r>
        <w:rPr>
          <w:rFonts w:cs="宋体" w:hint="eastAsia"/>
        </w:rPr>
        <w:t xml:space="preserve"> </w:t>
      </w:r>
      <w:r>
        <w:rPr>
          <w:rFonts w:cs="宋体" w:hint="eastAsia"/>
        </w:rPr>
        <w:t>为开发商提供的从财政部获得现金补助来替代</w:t>
      </w:r>
      <w:r>
        <w:rPr>
          <w:rFonts w:cs="宋体" w:hint="eastAsia"/>
        </w:rPr>
        <w:t xml:space="preserve"> ITC</w:t>
      </w:r>
      <w:r>
        <w:rPr>
          <w:rFonts w:cs="宋体" w:hint="eastAsia"/>
        </w:rPr>
        <w:t>的选择</w:t>
      </w:r>
      <w:r>
        <w:rPr>
          <w:rFonts w:cs="宋体" w:hint="eastAsia"/>
        </w:rPr>
        <w:t xml:space="preserve"> </w:t>
      </w:r>
      <w:r>
        <w:rPr>
          <w:rFonts w:cs="宋体" w:hint="eastAsia"/>
        </w:rPr>
        <w:t>对许多无足够的税前利润抵消的开发商尤其有利。一项研究表明，正因为有了</w:t>
      </w:r>
      <w:r>
        <w:rPr>
          <w:rFonts w:cs="宋体" w:hint="eastAsia"/>
        </w:rPr>
        <w:t xml:space="preserve"> Section 1603 </w:t>
      </w:r>
      <w:r>
        <w:rPr>
          <w:rFonts w:cs="宋体" w:hint="eastAsia"/>
        </w:rPr>
        <w:t>补助，</w:t>
      </w:r>
      <w:r>
        <w:rPr>
          <w:rFonts w:cs="宋体" w:hint="eastAsia"/>
        </w:rPr>
        <w:t xml:space="preserve"> </w:t>
      </w:r>
      <w:r>
        <w:rPr>
          <w:rFonts w:cs="宋体" w:hint="eastAsia"/>
        </w:rPr>
        <w:t>才使得</w:t>
      </w:r>
      <w:r>
        <w:rPr>
          <w:rFonts w:cs="宋体" w:hint="eastAsia"/>
        </w:rPr>
        <w:t>2009</w:t>
      </w:r>
      <w:r>
        <w:rPr>
          <w:rFonts w:cs="宋体" w:hint="eastAsia"/>
        </w:rPr>
        <w:t>年共有</w:t>
      </w:r>
      <w:r>
        <w:rPr>
          <w:rFonts w:cs="宋体" w:hint="eastAsia"/>
        </w:rPr>
        <w:t xml:space="preserve"> 2400 </w:t>
      </w:r>
      <w:r>
        <w:rPr>
          <w:rFonts w:cs="宋体" w:hint="eastAsia"/>
        </w:rPr>
        <w:t>兆瓦的风电装机容量得以开发。</w:t>
      </w:r>
    </w:p>
    <w:p w:rsidR="00FF6CCE" w:rsidRDefault="00FF6CCE" w:rsidP="00FF6CCE">
      <w:pPr>
        <w:pStyle w:val="a"/>
        <w:numPr>
          <w:ilvl w:val="0"/>
          <w:numId w:val="10"/>
        </w:numPr>
        <w:tabs>
          <w:tab w:val="clear" w:pos="0"/>
        </w:tabs>
        <w:rPr>
          <w:rFonts w:hint="eastAsia"/>
        </w:rPr>
      </w:pPr>
      <w:bookmarkStart w:id="253" w:name="_Toc392513100"/>
      <w:r>
        <w:rPr>
          <w:rFonts w:hint="eastAsia"/>
        </w:rPr>
        <w:t>ARRA</w:t>
      </w:r>
      <w:r>
        <w:rPr>
          <w:rFonts w:hint="eastAsia"/>
        </w:rPr>
        <w:t>中清洁能源在技术和机构中的花费（到</w:t>
      </w:r>
      <w:r>
        <w:rPr>
          <w:rFonts w:hint="eastAsia"/>
        </w:rPr>
        <w:t>2009</w:t>
      </w:r>
      <w:r>
        <w:rPr>
          <w:rFonts w:hint="eastAsia"/>
        </w:rPr>
        <w:t>年止）</w:t>
      </w:r>
      <w:bookmarkEnd w:id="253"/>
    </w:p>
    <w:tbl>
      <w:tblPr>
        <w:tblW w:w="0" w:type="auto"/>
        <w:tblLayout w:type="fixed"/>
        <w:tblLook w:val="0000" w:firstRow="0" w:lastRow="0" w:firstColumn="0" w:lastColumn="0" w:noHBand="0" w:noVBand="0"/>
      </w:tblPr>
      <w:tblGrid>
        <w:gridCol w:w="2683"/>
        <w:gridCol w:w="2445"/>
        <w:gridCol w:w="2135"/>
        <w:gridCol w:w="2133"/>
      </w:tblGrid>
      <w:tr w:rsidR="00FF6CCE" w:rsidTr="00FF6CCE">
        <w:trPr>
          <w:trHeight w:val="285"/>
        </w:trPr>
        <w:tc>
          <w:tcPr>
            <w:tcW w:w="2683" w:type="dxa"/>
            <w:tcBorders>
              <w:top w:val="single" w:sz="4" w:space="0" w:color="auto"/>
              <w:left w:val="single" w:sz="4" w:space="0" w:color="auto"/>
              <w:bottom w:val="single" w:sz="4" w:space="0" w:color="auto"/>
              <w:right w:val="single" w:sz="4" w:space="0" w:color="auto"/>
            </w:tcBorders>
            <w:vAlign w:val="center"/>
          </w:tcPr>
          <w:p w:rsidR="00FF6CCE" w:rsidRDefault="00FF6CCE" w:rsidP="00FF6CCE">
            <w:pPr>
              <w:ind w:firstLine="482"/>
              <w:jc w:val="center"/>
              <w:rPr>
                <w:rFonts w:ascii="宋体" w:hAnsi="宋体" w:cs="宋体"/>
                <w:b/>
                <w:bCs/>
              </w:rPr>
            </w:pPr>
            <w:r>
              <w:rPr>
                <w:rFonts w:ascii="宋体" w:hAnsi="宋体" w:cs="宋体" w:hint="eastAsia"/>
                <w:b/>
                <w:bCs/>
              </w:rPr>
              <w:t xml:space="preserve">　</w:t>
            </w:r>
          </w:p>
        </w:tc>
        <w:tc>
          <w:tcPr>
            <w:tcW w:w="2445" w:type="dxa"/>
            <w:tcBorders>
              <w:top w:val="single" w:sz="4" w:space="0" w:color="auto"/>
              <w:left w:val="nil"/>
              <w:bottom w:val="single" w:sz="4" w:space="0" w:color="auto"/>
              <w:right w:val="single" w:sz="4" w:space="0" w:color="auto"/>
            </w:tcBorders>
            <w:vAlign w:val="center"/>
          </w:tcPr>
          <w:p w:rsidR="00FF6CCE" w:rsidRDefault="00FF6CCE" w:rsidP="00FF6CCE">
            <w:pPr>
              <w:jc w:val="center"/>
              <w:rPr>
                <w:rFonts w:ascii="宋体" w:hAnsi="宋体" w:cs="宋体"/>
                <w:b/>
                <w:bCs/>
              </w:rPr>
            </w:pPr>
            <w:r>
              <w:rPr>
                <w:rFonts w:ascii="宋体" w:hAnsi="宋体" w:cs="宋体" w:hint="eastAsia"/>
                <w:b/>
                <w:bCs/>
              </w:rPr>
              <w:t>拨款数（百万美元）</w:t>
            </w:r>
          </w:p>
        </w:tc>
        <w:tc>
          <w:tcPr>
            <w:tcW w:w="2135" w:type="dxa"/>
            <w:tcBorders>
              <w:top w:val="single" w:sz="4" w:space="0" w:color="auto"/>
              <w:left w:val="nil"/>
              <w:bottom w:val="single" w:sz="4" w:space="0" w:color="auto"/>
              <w:right w:val="single" w:sz="4" w:space="0" w:color="auto"/>
            </w:tcBorders>
            <w:vAlign w:val="center"/>
          </w:tcPr>
          <w:p w:rsidR="00FF6CCE" w:rsidRDefault="00FF6CCE" w:rsidP="00FF6CCE">
            <w:pPr>
              <w:jc w:val="center"/>
              <w:rPr>
                <w:rFonts w:ascii="宋体" w:hAnsi="宋体" w:cs="宋体"/>
                <w:b/>
                <w:bCs/>
                <w:sz w:val="22"/>
                <w:szCs w:val="22"/>
              </w:rPr>
            </w:pPr>
            <w:r>
              <w:rPr>
                <w:rFonts w:ascii="宋体" w:hAnsi="宋体" w:cs="宋体" w:hint="eastAsia"/>
                <w:b/>
                <w:bCs/>
                <w:sz w:val="22"/>
                <w:szCs w:val="22"/>
              </w:rPr>
              <w:t>债务（百万美元）</w:t>
            </w:r>
          </w:p>
        </w:tc>
        <w:tc>
          <w:tcPr>
            <w:tcW w:w="2133" w:type="dxa"/>
            <w:tcBorders>
              <w:top w:val="single" w:sz="4" w:space="0" w:color="auto"/>
              <w:left w:val="nil"/>
              <w:bottom w:val="single" w:sz="4" w:space="0" w:color="auto"/>
              <w:right w:val="single" w:sz="4" w:space="0" w:color="auto"/>
            </w:tcBorders>
            <w:vAlign w:val="center"/>
          </w:tcPr>
          <w:p w:rsidR="00FF6CCE" w:rsidRDefault="00FF6CCE" w:rsidP="00FF6CCE">
            <w:pPr>
              <w:jc w:val="center"/>
              <w:rPr>
                <w:rFonts w:ascii="宋体" w:hAnsi="宋体" w:cs="宋体"/>
                <w:b/>
                <w:bCs/>
                <w:sz w:val="22"/>
                <w:szCs w:val="22"/>
              </w:rPr>
            </w:pPr>
            <w:r>
              <w:rPr>
                <w:rFonts w:ascii="宋体" w:hAnsi="宋体" w:cs="宋体" w:hint="eastAsia"/>
                <w:b/>
                <w:bCs/>
                <w:sz w:val="22"/>
                <w:szCs w:val="22"/>
              </w:rPr>
              <w:t>支出（百万美元）</w:t>
            </w:r>
          </w:p>
        </w:tc>
      </w:tr>
      <w:tr w:rsidR="00FF6CCE" w:rsidTr="00FF6CCE">
        <w:trPr>
          <w:trHeight w:val="285"/>
        </w:trPr>
        <w:tc>
          <w:tcPr>
            <w:tcW w:w="2683" w:type="dxa"/>
            <w:tcBorders>
              <w:top w:val="nil"/>
              <w:left w:val="single" w:sz="4" w:space="0" w:color="auto"/>
              <w:bottom w:val="nil"/>
              <w:right w:val="single" w:sz="4" w:space="0" w:color="auto"/>
            </w:tcBorders>
            <w:vAlign w:val="center"/>
          </w:tcPr>
          <w:p w:rsidR="00FF6CCE" w:rsidRDefault="00FF6CCE" w:rsidP="00FF6CCE">
            <w:pPr>
              <w:jc w:val="left"/>
              <w:rPr>
                <w:rFonts w:ascii="宋体" w:hAnsi="宋体" w:cs="宋体"/>
                <w:b/>
                <w:bCs/>
                <w:sz w:val="22"/>
                <w:szCs w:val="22"/>
              </w:rPr>
            </w:pPr>
            <w:r>
              <w:rPr>
                <w:rFonts w:ascii="宋体" w:hAnsi="宋体" w:cs="宋体" w:hint="eastAsia"/>
                <w:b/>
                <w:bCs/>
                <w:sz w:val="22"/>
                <w:szCs w:val="22"/>
              </w:rPr>
              <w:t>合计</w:t>
            </w:r>
          </w:p>
        </w:tc>
        <w:tc>
          <w:tcPr>
            <w:tcW w:w="2445" w:type="dxa"/>
            <w:tcBorders>
              <w:top w:val="nil"/>
              <w:left w:val="nil"/>
              <w:bottom w:val="nil"/>
              <w:right w:val="nil"/>
            </w:tcBorders>
            <w:vAlign w:val="center"/>
          </w:tcPr>
          <w:p w:rsidR="00FF6CCE" w:rsidRDefault="00FF6CCE" w:rsidP="00FF6CCE">
            <w:pPr>
              <w:jc w:val="right"/>
              <w:rPr>
                <w:rFonts w:ascii="宋体" w:hAnsi="宋体" w:cs="宋体"/>
                <w:b/>
                <w:bCs/>
              </w:rPr>
            </w:pPr>
            <w:r>
              <w:rPr>
                <w:rFonts w:ascii="宋体" w:hAnsi="宋体" w:cs="宋体" w:hint="eastAsia"/>
                <w:b/>
                <w:bCs/>
              </w:rPr>
              <w:t>90,222</w:t>
            </w:r>
          </w:p>
        </w:tc>
        <w:tc>
          <w:tcPr>
            <w:tcW w:w="2135" w:type="dxa"/>
            <w:tcBorders>
              <w:top w:val="nil"/>
              <w:left w:val="nil"/>
              <w:bottom w:val="nil"/>
              <w:right w:val="nil"/>
            </w:tcBorders>
            <w:vAlign w:val="center"/>
          </w:tcPr>
          <w:p w:rsidR="00FF6CCE" w:rsidRDefault="00FF6CCE" w:rsidP="00FF6CCE">
            <w:pPr>
              <w:jc w:val="right"/>
              <w:rPr>
                <w:rFonts w:ascii="宋体" w:hAnsi="宋体" w:cs="宋体"/>
                <w:b/>
                <w:bCs/>
              </w:rPr>
            </w:pPr>
            <w:r>
              <w:rPr>
                <w:rFonts w:ascii="宋体" w:hAnsi="宋体" w:cs="宋体" w:hint="eastAsia"/>
                <w:b/>
                <w:bCs/>
              </w:rPr>
              <w:t>30,859</w:t>
            </w:r>
          </w:p>
        </w:tc>
        <w:tc>
          <w:tcPr>
            <w:tcW w:w="2133" w:type="dxa"/>
            <w:tcBorders>
              <w:top w:val="nil"/>
              <w:left w:val="nil"/>
              <w:bottom w:val="nil"/>
              <w:right w:val="nil"/>
            </w:tcBorders>
            <w:vAlign w:val="center"/>
          </w:tcPr>
          <w:p w:rsidR="00FF6CCE" w:rsidRDefault="00FF6CCE" w:rsidP="00FF6CCE">
            <w:pPr>
              <w:jc w:val="right"/>
              <w:rPr>
                <w:rFonts w:ascii="宋体" w:hAnsi="宋体" w:cs="宋体"/>
                <w:b/>
                <w:bCs/>
              </w:rPr>
            </w:pPr>
            <w:r>
              <w:rPr>
                <w:rFonts w:ascii="宋体" w:hAnsi="宋体" w:cs="宋体" w:hint="eastAsia"/>
                <w:b/>
                <w:bCs/>
              </w:rPr>
              <w:t>5,121</w:t>
            </w:r>
          </w:p>
        </w:tc>
      </w:tr>
      <w:tr w:rsidR="00FF6CCE" w:rsidTr="00FF6CCE">
        <w:trPr>
          <w:trHeight w:val="285"/>
        </w:trPr>
        <w:tc>
          <w:tcPr>
            <w:tcW w:w="2683" w:type="dxa"/>
            <w:tcBorders>
              <w:top w:val="single" w:sz="4" w:space="0" w:color="auto"/>
              <w:left w:val="single" w:sz="4" w:space="0" w:color="auto"/>
              <w:bottom w:val="single" w:sz="4" w:space="0" w:color="auto"/>
              <w:right w:val="single" w:sz="4" w:space="0" w:color="auto"/>
            </w:tcBorders>
            <w:vAlign w:val="center"/>
          </w:tcPr>
          <w:p w:rsidR="00FF6CCE" w:rsidRDefault="00FF6CCE" w:rsidP="00FF6CCE">
            <w:pPr>
              <w:ind w:firstLineChars="100" w:firstLine="220"/>
              <w:jc w:val="left"/>
              <w:rPr>
                <w:rFonts w:ascii="宋体" w:hAnsi="宋体" w:cs="宋体"/>
                <w:sz w:val="22"/>
                <w:szCs w:val="22"/>
              </w:rPr>
            </w:pPr>
            <w:r>
              <w:rPr>
                <w:rFonts w:ascii="宋体" w:hAnsi="宋体" w:cs="宋体" w:hint="eastAsia"/>
                <w:sz w:val="22"/>
                <w:szCs w:val="22"/>
              </w:rPr>
              <w:t>能源效率</w:t>
            </w:r>
          </w:p>
        </w:tc>
        <w:tc>
          <w:tcPr>
            <w:tcW w:w="2445" w:type="dxa"/>
            <w:tcBorders>
              <w:top w:val="single" w:sz="4" w:space="0" w:color="auto"/>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19,935</w:t>
            </w:r>
          </w:p>
        </w:tc>
        <w:tc>
          <w:tcPr>
            <w:tcW w:w="2135" w:type="dxa"/>
            <w:tcBorders>
              <w:top w:val="single" w:sz="4" w:space="0" w:color="auto"/>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11,913</w:t>
            </w:r>
          </w:p>
        </w:tc>
        <w:tc>
          <w:tcPr>
            <w:tcW w:w="2133" w:type="dxa"/>
            <w:tcBorders>
              <w:top w:val="single" w:sz="4" w:space="0" w:color="auto"/>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1,162</w:t>
            </w:r>
          </w:p>
        </w:tc>
      </w:tr>
      <w:tr w:rsidR="00FF6CCE" w:rsidTr="00FF6CCE">
        <w:trPr>
          <w:trHeight w:val="285"/>
        </w:trPr>
        <w:tc>
          <w:tcPr>
            <w:tcW w:w="2683" w:type="dxa"/>
            <w:tcBorders>
              <w:top w:val="nil"/>
              <w:left w:val="single" w:sz="4" w:space="0" w:color="auto"/>
              <w:bottom w:val="single" w:sz="4" w:space="0" w:color="auto"/>
              <w:right w:val="single" w:sz="4" w:space="0" w:color="auto"/>
            </w:tcBorders>
            <w:vAlign w:val="center"/>
          </w:tcPr>
          <w:p w:rsidR="00FF6CCE" w:rsidRDefault="00FF6CCE" w:rsidP="00FF6CCE">
            <w:pPr>
              <w:ind w:firstLineChars="100" w:firstLine="220"/>
              <w:jc w:val="left"/>
              <w:rPr>
                <w:rFonts w:ascii="宋体" w:hAnsi="宋体" w:cs="宋体"/>
                <w:sz w:val="22"/>
                <w:szCs w:val="22"/>
              </w:rPr>
            </w:pPr>
            <w:r>
              <w:rPr>
                <w:rFonts w:ascii="宋体" w:hAnsi="宋体" w:cs="宋体" w:hint="eastAsia"/>
                <w:sz w:val="22"/>
                <w:szCs w:val="22"/>
              </w:rPr>
              <w:t>可再生发电</w:t>
            </w:r>
          </w:p>
        </w:tc>
        <w:tc>
          <w:tcPr>
            <w:tcW w:w="244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26,598</w:t>
            </w:r>
          </w:p>
        </w:tc>
        <w:tc>
          <w:tcPr>
            <w:tcW w:w="213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1,513</w:t>
            </w:r>
          </w:p>
        </w:tc>
        <w:tc>
          <w:tcPr>
            <w:tcW w:w="2133"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1,479</w:t>
            </w:r>
          </w:p>
        </w:tc>
      </w:tr>
      <w:tr w:rsidR="00FF6CCE" w:rsidTr="00FF6CCE">
        <w:trPr>
          <w:trHeight w:val="285"/>
        </w:trPr>
        <w:tc>
          <w:tcPr>
            <w:tcW w:w="2683" w:type="dxa"/>
            <w:tcBorders>
              <w:top w:val="nil"/>
              <w:left w:val="single" w:sz="4" w:space="0" w:color="auto"/>
              <w:bottom w:val="single" w:sz="4" w:space="0" w:color="auto"/>
              <w:right w:val="single" w:sz="4" w:space="0" w:color="auto"/>
            </w:tcBorders>
            <w:vAlign w:val="center"/>
          </w:tcPr>
          <w:p w:rsidR="00FF6CCE" w:rsidRDefault="00FF6CCE" w:rsidP="00FF6CCE">
            <w:pPr>
              <w:ind w:firstLineChars="100" w:firstLine="220"/>
              <w:jc w:val="left"/>
              <w:rPr>
                <w:rFonts w:ascii="宋体" w:hAnsi="宋体" w:cs="宋体"/>
                <w:sz w:val="22"/>
                <w:szCs w:val="22"/>
              </w:rPr>
            </w:pPr>
            <w:r>
              <w:rPr>
                <w:rFonts w:ascii="宋体" w:hAnsi="宋体" w:cs="宋体" w:hint="eastAsia"/>
                <w:sz w:val="22"/>
                <w:szCs w:val="22"/>
              </w:rPr>
              <w:t>电网现代化</w:t>
            </w:r>
          </w:p>
        </w:tc>
        <w:tc>
          <w:tcPr>
            <w:tcW w:w="244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10,453</w:t>
            </w:r>
          </w:p>
        </w:tc>
        <w:tc>
          <w:tcPr>
            <w:tcW w:w="213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2,666</w:t>
            </w:r>
          </w:p>
        </w:tc>
        <w:tc>
          <w:tcPr>
            <w:tcW w:w="2133"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72</w:t>
            </w:r>
          </w:p>
        </w:tc>
      </w:tr>
      <w:tr w:rsidR="00FF6CCE" w:rsidTr="00FF6CCE">
        <w:trPr>
          <w:trHeight w:val="285"/>
        </w:trPr>
        <w:tc>
          <w:tcPr>
            <w:tcW w:w="2683" w:type="dxa"/>
            <w:tcBorders>
              <w:top w:val="nil"/>
              <w:left w:val="single" w:sz="4" w:space="0" w:color="auto"/>
              <w:bottom w:val="single" w:sz="4" w:space="0" w:color="auto"/>
              <w:right w:val="single" w:sz="4" w:space="0" w:color="auto"/>
            </w:tcBorders>
            <w:vAlign w:val="center"/>
          </w:tcPr>
          <w:p w:rsidR="00FF6CCE" w:rsidRDefault="00FF6CCE" w:rsidP="00FF6CCE">
            <w:pPr>
              <w:ind w:firstLineChars="100" w:firstLine="220"/>
              <w:jc w:val="left"/>
              <w:rPr>
                <w:rFonts w:ascii="宋体" w:hAnsi="宋体" w:cs="宋体"/>
                <w:sz w:val="22"/>
                <w:szCs w:val="22"/>
              </w:rPr>
            </w:pPr>
            <w:r>
              <w:rPr>
                <w:rFonts w:ascii="宋体" w:hAnsi="宋体" w:cs="宋体" w:hint="eastAsia"/>
                <w:sz w:val="22"/>
                <w:szCs w:val="22"/>
              </w:rPr>
              <w:t>先进的汽车和汽油技术</w:t>
            </w:r>
          </w:p>
        </w:tc>
        <w:tc>
          <w:tcPr>
            <w:tcW w:w="244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6,142</w:t>
            </w:r>
          </w:p>
        </w:tc>
        <w:tc>
          <w:tcPr>
            <w:tcW w:w="213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3,149</w:t>
            </w:r>
          </w:p>
        </w:tc>
        <w:tc>
          <w:tcPr>
            <w:tcW w:w="2133"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450</w:t>
            </w:r>
          </w:p>
        </w:tc>
      </w:tr>
      <w:tr w:rsidR="00FF6CCE" w:rsidTr="00FF6CCE">
        <w:trPr>
          <w:trHeight w:val="285"/>
        </w:trPr>
        <w:tc>
          <w:tcPr>
            <w:tcW w:w="2683" w:type="dxa"/>
            <w:tcBorders>
              <w:top w:val="nil"/>
              <w:left w:val="single" w:sz="4" w:space="0" w:color="auto"/>
              <w:bottom w:val="single" w:sz="4" w:space="0" w:color="auto"/>
              <w:right w:val="single" w:sz="4" w:space="0" w:color="auto"/>
            </w:tcBorders>
            <w:vAlign w:val="center"/>
          </w:tcPr>
          <w:p w:rsidR="00FF6CCE" w:rsidRDefault="00FF6CCE" w:rsidP="00FF6CCE">
            <w:pPr>
              <w:ind w:firstLineChars="100" w:firstLine="220"/>
              <w:jc w:val="left"/>
              <w:rPr>
                <w:rFonts w:ascii="宋体" w:hAnsi="宋体" w:cs="宋体"/>
                <w:sz w:val="22"/>
                <w:szCs w:val="22"/>
              </w:rPr>
            </w:pPr>
            <w:r>
              <w:rPr>
                <w:rFonts w:ascii="宋体" w:hAnsi="宋体" w:cs="宋体" w:hint="eastAsia"/>
                <w:sz w:val="22"/>
                <w:szCs w:val="22"/>
              </w:rPr>
              <w:t>传统的交通工具和高铁</w:t>
            </w:r>
          </w:p>
        </w:tc>
        <w:tc>
          <w:tcPr>
            <w:tcW w:w="244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18,113</w:t>
            </w:r>
          </w:p>
        </w:tc>
        <w:tc>
          <w:tcPr>
            <w:tcW w:w="213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8,834</w:t>
            </w:r>
          </w:p>
        </w:tc>
        <w:tc>
          <w:tcPr>
            <w:tcW w:w="2133"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1,805</w:t>
            </w:r>
          </w:p>
        </w:tc>
      </w:tr>
      <w:tr w:rsidR="00FF6CCE" w:rsidTr="00FF6CCE">
        <w:trPr>
          <w:trHeight w:val="285"/>
        </w:trPr>
        <w:tc>
          <w:tcPr>
            <w:tcW w:w="2683" w:type="dxa"/>
            <w:tcBorders>
              <w:top w:val="nil"/>
              <w:left w:val="single" w:sz="4" w:space="0" w:color="auto"/>
              <w:bottom w:val="single" w:sz="4" w:space="0" w:color="auto"/>
              <w:right w:val="single" w:sz="4" w:space="0" w:color="auto"/>
            </w:tcBorders>
            <w:vAlign w:val="center"/>
          </w:tcPr>
          <w:p w:rsidR="00FF6CCE" w:rsidRDefault="00FF6CCE" w:rsidP="00FF6CCE">
            <w:pPr>
              <w:ind w:firstLineChars="100" w:firstLine="220"/>
              <w:jc w:val="left"/>
              <w:rPr>
                <w:rFonts w:ascii="宋体" w:hAnsi="宋体" w:cs="宋体"/>
                <w:sz w:val="22"/>
                <w:szCs w:val="22"/>
              </w:rPr>
            </w:pPr>
            <w:r>
              <w:rPr>
                <w:rFonts w:ascii="宋体" w:hAnsi="宋体" w:cs="宋体" w:hint="eastAsia"/>
                <w:sz w:val="22"/>
                <w:szCs w:val="22"/>
              </w:rPr>
              <w:t>碳捕捉和隔离</w:t>
            </w:r>
          </w:p>
        </w:tc>
        <w:tc>
          <w:tcPr>
            <w:tcW w:w="244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3,400</w:t>
            </w:r>
          </w:p>
        </w:tc>
        <w:tc>
          <w:tcPr>
            <w:tcW w:w="213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425</w:t>
            </w:r>
          </w:p>
        </w:tc>
        <w:tc>
          <w:tcPr>
            <w:tcW w:w="2133"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4</w:t>
            </w:r>
          </w:p>
        </w:tc>
      </w:tr>
      <w:tr w:rsidR="00FF6CCE" w:rsidTr="00FF6CCE">
        <w:trPr>
          <w:trHeight w:val="285"/>
        </w:trPr>
        <w:tc>
          <w:tcPr>
            <w:tcW w:w="2683" w:type="dxa"/>
            <w:tcBorders>
              <w:top w:val="nil"/>
              <w:left w:val="single" w:sz="4" w:space="0" w:color="auto"/>
              <w:bottom w:val="single" w:sz="4" w:space="0" w:color="auto"/>
              <w:right w:val="single" w:sz="4" w:space="0" w:color="auto"/>
            </w:tcBorders>
            <w:vAlign w:val="center"/>
          </w:tcPr>
          <w:p w:rsidR="00FF6CCE" w:rsidRDefault="00FF6CCE" w:rsidP="00FF6CCE">
            <w:pPr>
              <w:ind w:firstLineChars="100" w:firstLine="220"/>
              <w:jc w:val="left"/>
              <w:rPr>
                <w:rFonts w:ascii="宋体" w:hAnsi="宋体" w:cs="宋体"/>
                <w:sz w:val="22"/>
                <w:szCs w:val="22"/>
              </w:rPr>
            </w:pPr>
            <w:r>
              <w:rPr>
                <w:rFonts w:ascii="宋体" w:hAnsi="宋体" w:cs="宋体" w:hint="eastAsia"/>
                <w:sz w:val="22"/>
                <w:szCs w:val="22"/>
              </w:rPr>
              <w:t>绿色创新和工作培训</w:t>
            </w:r>
          </w:p>
        </w:tc>
        <w:tc>
          <w:tcPr>
            <w:tcW w:w="244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3,549</w:t>
            </w:r>
          </w:p>
        </w:tc>
        <w:tc>
          <w:tcPr>
            <w:tcW w:w="213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2,197</w:t>
            </w:r>
          </w:p>
        </w:tc>
        <w:tc>
          <w:tcPr>
            <w:tcW w:w="2133"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123</w:t>
            </w:r>
          </w:p>
        </w:tc>
      </w:tr>
      <w:tr w:rsidR="00FF6CCE" w:rsidTr="00FF6CCE">
        <w:trPr>
          <w:trHeight w:val="285"/>
        </w:trPr>
        <w:tc>
          <w:tcPr>
            <w:tcW w:w="2683" w:type="dxa"/>
            <w:tcBorders>
              <w:top w:val="nil"/>
              <w:left w:val="single" w:sz="4" w:space="0" w:color="auto"/>
              <w:bottom w:val="single" w:sz="4" w:space="0" w:color="auto"/>
              <w:right w:val="single" w:sz="4" w:space="0" w:color="auto"/>
            </w:tcBorders>
            <w:vAlign w:val="center"/>
          </w:tcPr>
          <w:p w:rsidR="00FF6CCE" w:rsidRDefault="00FF6CCE" w:rsidP="00FF6CCE">
            <w:pPr>
              <w:ind w:firstLineChars="100" w:firstLine="220"/>
              <w:jc w:val="left"/>
              <w:rPr>
                <w:rFonts w:ascii="宋体" w:hAnsi="宋体" w:cs="宋体"/>
                <w:sz w:val="22"/>
                <w:szCs w:val="22"/>
              </w:rPr>
            </w:pPr>
            <w:r>
              <w:rPr>
                <w:rFonts w:ascii="宋体" w:hAnsi="宋体" w:cs="宋体" w:hint="eastAsia"/>
                <w:sz w:val="22"/>
                <w:szCs w:val="22"/>
              </w:rPr>
              <w:t>清洁能源工具制造</w:t>
            </w:r>
          </w:p>
        </w:tc>
        <w:tc>
          <w:tcPr>
            <w:tcW w:w="244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1,624</w:t>
            </w:r>
          </w:p>
        </w:tc>
        <w:tc>
          <w:tcPr>
            <w:tcW w:w="213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14</w:t>
            </w:r>
          </w:p>
        </w:tc>
        <w:tc>
          <w:tcPr>
            <w:tcW w:w="2133"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14</w:t>
            </w:r>
          </w:p>
        </w:tc>
      </w:tr>
      <w:tr w:rsidR="00FF6CCE" w:rsidTr="00FF6CCE">
        <w:trPr>
          <w:trHeight w:val="285"/>
        </w:trPr>
        <w:tc>
          <w:tcPr>
            <w:tcW w:w="2683" w:type="dxa"/>
            <w:tcBorders>
              <w:top w:val="nil"/>
              <w:left w:val="single" w:sz="4" w:space="0" w:color="auto"/>
              <w:bottom w:val="single" w:sz="4" w:space="0" w:color="auto"/>
              <w:right w:val="single" w:sz="4" w:space="0" w:color="auto"/>
            </w:tcBorders>
            <w:vAlign w:val="center"/>
          </w:tcPr>
          <w:p w:rsidR="00FF6CCE" w:rsidRDefault="00FF6CCE" w:rsidP="00FF6CCE">
            <w:pPr>
              <w:ind w:firstLineChars="100" w:firstLine="220"/>
              <w:jc w:val="left"/>
              <w:rPr>
                <w:rFonts w:ascii="宋体" w:hAnsi="宋体" w:cs="宋体"/>
                <w:sz w:val="22"/>
                <w:szCs w:val="22"/>
              </w:rPr>
            </w:pPr>
            <w:r>
              <w:rPr>
                <w:rFonts w:ascii="宋体" w:hAnsi="宋体" w:cs="宋体" w:hint="eastAsia"/>
                <w:sz w:val="22"/>
                <w:szCs w:val="22"/>
              </w:rPr>
              <w:t>其他</w:t>
            </w:r>
          </w:p>
        </w:tc>
        <w:tc>
          <w:tcPr>
            <w:tcW w:w="244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408</w:t>
            </w:r>
          </w:p>
        </w:tc>
        <w:tc>
          <w:tcPr>
            <w:tcW w:w="213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148</w:t>
            </w:r>
          </w:p>
        </w:tc>
        <w:tc>
          <w:tcPr>
            <w:tcW w:w="2133"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12</w:t>
            </w:r>
          </w:p>
        </w:tc>
      </w:tr>
      <w:tr w:rsidR="00FF6CCE" w:rsidTr="00FF6CCE">
        <w:trPr>
          <w:trHeight w:val="285"/>
        </w:trPr>
        <w:tc>
          <w:tcPr>
            <w:tcW w:w="2683" w:type="dxa"/>
            <w:tcBorders>
              <w:top w:val="nil"/>
              <w:left w:val="single" w:sz="4" w:space="0" w:color="auto"/>
              <w:bottom w:val="single" w:sz="4" w:space="0" w:color="auto"/>
              <w:right w:val="single" w:sz="4" w:space="0" w:color="auto"/>
            </w:tcBorders>
            <w:vAlign w:val="center"/>
          </w:tcPr>
          <w:p w:rsidR="00FF6CCE" w:rsidRDefault="00FF6CCE" w:rsidP="00FF6CCE">
            <w:pPr>
              <w:jc w:val="left"/>
              <w:rPr>
                <w:rFonts w:ascii="宋体" w:hAnsi="宋体" w:cs="宋体"/>
                <w:b/>
                <w:bCs/>
                <w:sz w:val="22"/>
                <w:szCs w:val="22"/>
              </w:rPr>
            </w:pPr>
            <w:r>
              <w:rPr>
                <w:rFonts w:ascii="宋体" w:hAnsi="宋体" w:cs="宋体" w:hint="eastAsia"/>
                <w:b/>
                <w:bCs/>
                <w:sz w:val="22"/>
                <w:szCs w:val="22"/>
              </w:rPr>
              <w:t>合计</w:t>
            </w:r>
          </w:p>
        </w:tc>
        <w:tc>
          <w:tcPr>
            <w:tcW w:w="244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90,222</w:t>
            </w:r>
          </w:p>
        </w:tc>
        <w:tc>
          <w:tcPr>
            <w:tcW w:w="213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30,861</w:t>
            </w:r>
          </w:p>
        </w:tc>
        <w:tc>
          <w:tcPr>
            <w:tcW w:w="2133"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5,121</w:t>
            </w:r>
          </w:p>
        </w:tc>
      </w:tr>
      <w:tr w:rsidR="00FF6CCE" w:rsidTr="00FF6CCE">
        <w:trPr>
          <w:trHeight w:val="285"/>
        </w:trPr>
        <w:tc>
          <w:tcPr>
            <w:tcW w:w="2683" w:type="dxa"/>
            <w:tcBorders>
              <w:top w:val="nil"/>
              <w:left w:val="single" w:sz="4" w:space="0" w:color="auto"/>
              <w:bottom w:val="single" w:sz="4" w:space="0" w:color="auto"/>
              <w:right w:val="single" w:sz="4" w:space="0" w:color="auto"/>
            </w:tcBorders>
            <w:vAlign w:val="center"/>
          </w:tcPr>
          <w:p w:rsidR="00FF6CCE" w:rsidRDefault="00FF6CCE" w:rsidP="00FF6CCE">
            <w:pPr>
              <w:ind w:firstLineChars="100" w:firstLine="220"/>
              <w:jc w:val="left"/>
              <w:rPr>
                <w:rFonts w:ascii="宋体" w:hAnsi="宋体" w:cs="宋体"/>
                <w:sz w:val="22"/>
                <w:szCs w:val="22"/>
              </w:rPr>
            </w:pPr>
            <w:r>
              <w:rPr>
                <w:rFonts w:ascii="宋体" w:hAnsi="宋体" w:cs="宋体" w:hint="eastAsia"/>
                <w:sz w:val="22"/>
                <w:szCs w:val="22"/>
              </w:rPr>
              <w:t>商业</w:t>
            </w:r>
          </w:p>
        </w:tc>
        <w:tc>
          <w:tcPr>
            <w:tcW w:w="244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6</w:t>
            </w:r>
          </w:p>
        </w:tc>
        <w:tc>
          <w:tcPr>
            <w:tcW w:w="213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w:t>
            </w:r>
          </w:p>
        </w:tc>
        <w:tc>
          <w:tcPr>
            <w:tcW w:w="2133"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0</w:t>
            </w:r>
          </w:p>
        </w:tc>
      </w:tr>
      <w:tr w:rsidR="00FF6CCE" w:rsidTr="00FF6CCE">
        <w:trPr>
          <w:trHeight w:val="285"/>
        </w:trPr>
        <w:tc>
          <w:tcPr>
            <w:tcW w:w="2683" w:type="dxa"/>
            <w:tcBorders>
              <w:top w:val="nil"/>
              <w:left w:val="single" w:sz="4" w:space="0" w:color="auto"/>
              <w:bottom w:val="single" w:sz="4" w:space="0" w:color="auto"/>
              <w:right w:val="single" w:sz="4" w:space="0" w:color="auto"/>
            </w:tcBorders>
            <w:vAlign w:val="center"/>
          </w:tcPr>
          <w:p w:rsidR="00FF6CCE" w:rsidRDefault="00FF6CCE" w:rsidP="00FF6CCE">
            <w:pPr>
              <w:ind w:firstLineChars="100" w:firstLine="220"/>
              <w:jc w:val="left"/>
              <w:rPr>
                <w:rFonts w:ascii="宋体" w:hAnsi="宋体" w:cs="宋体"/>
                <w:sz w:val="22"/>
                <w:szCs w:val="22"/>
              </w:rPr>
            </w:pPr>
            <w:r>
              <w:rPr>
                <w:rFonts w:ascii="宋体" w:hAnsi="宋体" w:cs="宋体" w:hint="eastAsia"/>
                <w:sz w:val="22"/>
                <w:szCs w:val="22"/>
              </w:rPr>
              <w:t>国防部和退伍军人事务</w:t>
            </w:r>
          </w:p>
        </w:tc>
        <w:tc>
          <w:tcPr>
            <w:tcW w:w="244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922</w:t>
            </w:r>
          </w:p>
        </w:tc>
        <w:tc>
          <w:tcPr>
            <w:tcW w:w="213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354</w:t>
            </w:r>
          </w:p>
        </w:tc>
        <w:tc>
          <w:tcPr>
            <w:tcW w:w="2133"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46</w:t>
            </w:r>
          </w:p>
        </w:tc>
      </w:tr>
      <w:tr w:rsidR="00FF6CCE" w:rsidTr="00FF6CCE">
        <w:trPr>
          <w:trHeight w:val="285"/>
        </w:trPr>
        <w:tc>
          <w:tcPr>
            <w:tcW w:w="2683" w:type="dxa"/>
            <w:tcBorders>
              <w:top w:val="nil"/>
              <w:left w:val="single" w:sz="4" w:space="0" w:color="auto"/>
              <w:bottom w:val="single" w:sz="4" w:space="0" w:color="auto"/>
              <w:right w:val="single" w:sz="4" w:space="0" w:color="auto"/>
            </w:tcBorders>
            <w:vAlign w:val="center"/>
          </w:tcPr>
          <w:p w:rsidR="00FF6CCE" w:rsidRDefault="00FF6CCE" w:rsidP="00FF6CCE">
            <w:pPr>
              <w:ind w:firstLineChars="100" w:firstLine="220"/>
              <w:jc w:val="left"/>
              <w:rPr>
                <w:rFonts w:ascii="宋体" w:hAnsi="宋体" w:cs="宋体"/>
                <w:sz w:val="22"/>
                <w:szCs w:val="22"/>
              </w:rPr>
            </w:pPr>
            <w:r>
              <w:rPr>
                <w:rFonts w:ascii="宋体" w:hAnsi="宋体" w:cs="宋体" w:hint="eastAsia"/>
                <w:sz w:val="22"/>
                <w:szCs w:val="22"/>
              </w:rPr>
              <w:t>能源</w:t>
            </w:r>
          </w:p>
        </w:tc>
        <w:tc>
          <w:tcPr>
            <w:tcW w:w="244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35,235</w:t>
            </w:r>
          </w:p>
        </w:tc>
        <w:tc>
          <w:tcPr>
            <w:tcW w:w="213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16,608</w:t>
            </w:r>
          </w:p>
        </w:tc>
        <w:tc>
          <w:tcPr>
            <w:tcW w:w="2133"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712</w:t>
            </w:r>
          </w:p>
        </w:tc>
      </w:tr>
      <w:tr w:rsidR="00FF6CCE" w:rsidTr="00FF6CCE">
        <w:trPr>
          <w:trHeight w:val="285"/>
        </w:trPr>
        <w:tc>
          <w:tcPr>
            <w:tcW w:w="2683" w:type="dxa"/>
            <w:tcBorders>
              <w:top w:val="nil"/>
              <w:left w:val="single" w:sz="4" w:space="0" w:color="auto"/>
              <w:bottom w:val="single" w:sz="4" w:space="0" w:color="auto"/>
              <w:right w:val="single" w:sz="4" w:space="0" w:color="auto"/>
            </w:tcBorders>
            <w:vAlign w:val="center"/>
          </w:tcPr>
          <w:p w:rsidR="00FF6CCE" w:rsidRDefault="00FF6CCE" w:rsidP="00FF6CCE">
            <w:pPr>
              <w:ind w:firstLineChars="100" w:firstLine="220"/>
              <w:jc w:val="left"/>
              <w:rPr>
                <w:rFonts w:ascii="宋体" w:hAnsi="宋体" w:cs="宋体"/>
                <w:sz w:val="22"/>
                <w:szCs w:val="22"/>
              </w:rPr>
            </w:pPr>
            <w:r>
              <w:rPr>
                <w:rFonts w:ascii="宋体" w:hAnsi="宋体" w:cs="宋体" w:hint="eastAsia"/>
                <w:sz w:val="22"/>
                <w:szCs w:val="22"/>
              </w:rPr>
              <w:t>环境保护机构</w:t>
            </w:r>
          </w:p>
        </w:tc>
        <w:tc>
          <w:tcPr>
            <w:tcW w:w="244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300</w:t>
            </w:r>
          </w:p>
        </w:tc>
        <w:tc>
          <w:tcPr>
            <w:tcW w:w="213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294</w:t>
            </w:r>
          </w:p>
        </w:tc>
        <w:tc>
          <w:tcPr>
            <w:tcW w:w="2133"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28</w:t>
            </w:r>
          </w:p>
        </w:tc>
      </w:tr>
      <w:tr w:rsidR="00FF6CCE" w:rsidTr="00FF6CCE">
        <w:trPr>
          <w:trHeight w:val="285"/>
        </w:trPr>
        <w:tc>
          <w:tcPr>
            <w:tcW w:w="2683" w:type="dxa"/>
            <w:tcBorders>
              <w:top w:val="nil"/>
              <w:left w:val="single" w:sz="4" w:space="0" w:color="auto"/>
              <w:bottom w:val="single" w:sz="4" w:space="0" w:color="auto"/>
              <w:right w:val="single" w:sz="4" w:space="0" w:color="auto"/>
            </w:tcBorders>
            <w:vAlign w:val="center"/>
          </w:tcPr>
          <w:p w:rsidR="00FF6CCE" w:rsidRDefault="00FF6CCE" w:rsidP="00FF6CCE">
            <w:pPr>
              <w:ind w:firstLineChars="100" w:firstLine="220"/>
              <w:jc w:val="left"/>
              <w:rPr>
                <w:rFonts w:ascii="宋体" w:hAnsi="宋体" w:cs="宋体"/>
                <w:sz w:val="22"/>
                <w:szCs w:val="22"/>
              </w:rPr>
            </w:pPr>
            <w:r>
              <w:rPr>
                <w:rFonts w:ascii="宋体" w:hAnsi="宋体" w:cs="宋体" w:hint="eastAsia"/>
                <w:sz w:val="22"/>
                <w:szCs w:val="22"/>
              </w:rPr>
              <w:t>常规服务管理</w:t>
            </w:r>
          </w:p>
        </w:tc>
        <w:tc>
          <w:tcPr>
            <w:tcW w:w="244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4,800</w:t>
            </w:r>
          </w:p>
        </w:tc>
        <w:tc>
          <w:tcPr>
            <w:tcW w:w="213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1,980</w:t>
            </w:r>
          </w:p>
        </w:tc>
        <w:tc>
          <w:tcPr>
            <w:tcW w:w="2133"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387</w:t>
            </w:r>
          </w:p>
        </w:tc>
      </w:tr>
      <w:tr w:rsidR="00FF6CCE" w:rsidTr="00FF6CCE">
        <w:trPr>
          <w:trHeight w:val="285"/>
        </w:trPr>
        <w:tc>
          <w:tcPr>
            <w:tcW w:w="2683" w:type="dxa"/>
            <w:tcBorders>
              <w:top w:val="nil"/>
              <w:left w:val="single" w:sz="4" w:space="0" w:color="auto"/>
              <w:bottom w:val="single" w:sz="4" w:space="0" w:color="auto"/>
              <w:right w:val="single" w:sz="4" w:space="0" w:color="auto"/>
            </w:tcBorders>
            <w:vAlign w:val="center"/>
          </w:tcPr>
          <w:p w:rsidR="00FF6CCE" w:rsidRDefault="00FF6CCE" w:rsidP="00FF6CCE">
            <w:pPr>
              <w:ind w:firstLineChars="100" w:firstLine="220"/>
              <w:jc w:val="left"/>
              <w:rPr>
                <w:rFonts w:ascii="宋体" w:hAnsi="宋体" w:cs="宋体"/>
                <w:sz w:val="22"/>
                <w:szCs w:val="22"/>
              </w:rPr>
            </w:pPr>
            <w:r>
              <w:rPr>
                <w:rFonts w:ascii="宋体" w:hAnsi="宋体" w:cs="宋体" w:hint="eastAsia"/>
                <w:sz w:val="22"/>
                <w:szCs w:val="22"/>
              </w:rPr>
              <w:t>住房和城市发展</w:t>
            </w:r>
          </w:p>
        </w:tc>
        <w:tc>
          <w:tcPr>
            <w:tcW w:w="244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850</w:t>
            </w:r>
          </w:p>
        </w:tc>
        <w:tc>
          <w:tcPr>
            <w:tcW w:w="213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608</w:t>
            </w:r>
          </w:p>
        </w:tc>
        <w:tc>
          <w:tcPr>
            <w:tcW w:w="2133"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84</w:t>
            </w:r>
          </w:p>
        </w:tc>
      </w:tr>
      <w:tr w:rsidR="00FF6CCE" w:rsidTr="00FF6CCE">
        <w:trPr>
          <w:trHeight w:val="285"/>
        </w:trPr>
        <w:tc>
          <w:tcPr>
            <w:tcW w:w="2683" w:type="dxa"/>
            <w:tcBorders>
              <w:top w:val="nil"/>
              <w:left w:val="single" w:sz="4" w:space="0" w:color="auto"/>
              <w:bottom w:val="single" w:sz="4" w:space="0" w:color="auto"/>
              <w:right w:val="single" w:sz="4" w:space="0" w:color="auto"/>
            </w:tcBorders>
            <w:vAlign w:val="center"/>
          </w:tcPr>
          <w:p w:rsidR="00FF6CCE" w:rsidRDefault="00FF6CCE" w:rsidP="00FF6CCE">
            <w:pPr>
              <w:ind w:firstLineChars="100" w:firstLine="220"/>
              <w:jc w:val="left"/>
              <w:rPr>
                <w:rFonts w:ascii="宋体" w:hAnsi="宋体" w:cs="宋体"/>
                <w:sz w:val="22"/>
                <w:szCs w:val="22"/>
              </w:rPr>
            </w:pPr>
            <w:r>
              <w:rPr>
                <w:rFonts w:ascii="宋体" w:hAnsi="宋体" w:cs="宋体" w:hint="eastAsia"/>
                <w:sz w:val="22"/>
                <w:szCs w:val="22"/>
              </w:rPr>
              <w:t>内部</w:t>
            </w:r>
          </w:p>
        </w:tc>
        <w:tc>
          <w:tcPr>
            <w:tcW w:w="244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41</w:t>
            </w:r>
          </w:p>
        </w:tc>
        <w:tc>
          <w:tcPr>
            <w:tcW w:w="213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7</w:t>
            </w:r>
          </w:p>
        </w:tc>
        <w:tc>
          <w:tcPr>
            <w:tcW w:w="2133"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w:t>
            </w:r>
          </w:p>
        </w:tc>
      </w:tr>
      <w:tr w:rsidR="00FF6CCE" w:rsidTr="00FF6CCE">
        <w:trPr>
          <w:trHeight w:val="285"/>
        </w:trPr>
        <w:tc>
          <w:tcPr>
            <w:tcW w:w="2683" w:type="dxa"/>
            <w:tcBorders>
              <w:top w:val="nil"/>
              <w:left w:val="single" w:sz="4" w:space="0" w:color="auto"/>
              <w:bottom w:val="single" w:sz="4" w:space="0" w:color="auto"/>
              <w:right w:val="single" w:sz="4" w:space="0" w:color="auto"/>
            </w:tcBorders>
            <w:vAlign w:val="center"/>
          </w:tcPr>
          <w:p w:rsidR="00FF6CCE" w:rsidRDefault="00FF6CCE" w:rsidP="00FF6CCE">
            <w:pPr>
              <w:ind w:firstLineChars="100" w:firstLine="220"/>
              <w:jc w:val="left"/>
              <w:rPr>
                <w:rFonts w:ascii="宋体" w:hAnsi="宋体" w:cs="宋体"/>
                <w:sz w:val="22"/>
                <w:szCs w:val="22"/>
              </w:rPr>
            </w:pPr>
            <w:r>
              <w:rPr>
                <w:rFonts w:ascii="宋体" w:hAnsi="宋体" w:cs="宋体" w:hint="eastAsia"/>
                <w:sz w:val="22"/>
                <w:szCs w:val="22"/>
              </w:rPr>
              <w:t>人工</w:t>
            </w:r>
          </w:p>
        </w:tc>
        <w:tc>
          <w:tcPr>
            <w:tcW w:w="244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500</w:t>
            </w:r>
          </w:p>
        </w:tc>
        <w:tc>
          <w:tcPr>
            <w:tcW w:w="213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55</w:t>
            </w:r>
          </w:p>
        </w:tc>
        <w:tc>
          <w:tcPr>
            <w:tcW w:w="2133"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0</w:t>
            </w:r>
          </w:p>
        </w:tc>
      </w:tr>
      <w:tr w:rsidR="00FF6CCE" w:rsidTr="00FF6CCE">
        <w:trPr>
          <w:trHeight w:val="285"/>
        </w:trPr>
        <w:tc>
          <w:tcPr>
            <w:tcW w:w="2683" w:type="dxa"/>
            <w:tcBorders>
              <w:top w:val="nil"/>
              <w:left w:val="single" w:sz="4" w:space="0" w:color="auto"/>
              <w:bottom w:val="single" w:sz="4" w:space="0" w:color="auto"/>
              <w:right w:val="single" w:sz="4" w:space="0" w:color="auto"/>
            </w:tcBorders>
            <w:vAlign w:val="center"/>
          </w:tcPr>
          <w:p w:rsidR="00FF6CCE" w:rsidRDefault="00FF6CCE" w:rsidP="00FF6CCE">
            <w:pPr>
              <w:ind w:firstLineChars="100" w:firstLine="220"/>
              <w:jc w:val="left"/>
              <w:rPr>
                <w:rFonts w:ascii="宋体" w:hAnsi="宋体" w:cs="宋体"/>
                <w:sz w:val="22"/>
                <w:szCs w:val="22"/>
              </w:rPr>
            </w:pPr>
            <w:r>
              <w:rPr>
                <w:rFonts w:ascii="宋体" w:hAnsi="宋体" w:cs="宋体" w:hint="eastAsia"/>
                <w:sz w:val="22"/>
                <w:szCs w:val="22"/>
              </w:rPr>
              <w:t>去昂服务协会</w:t>
            </w:r>
          </w:p>
        </w:tc>
        <w:tc>
          <w:tcPr>
            <w:tcW w:w="244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77</w:t>
            </w:r>
          </w:p>
        </w:tc>
        <w:tc>
          <w:tcPr>
            <w:tcW w:w="213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64</w:t>
            </w:r>
          </w:p>
        </w:tc>
        <w:tc>
          <w:tcPr>
            <w:tcW w:w="2133"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3</w:t>
            </w:r>
          </w:p>
        </w:tc>
      </w:tr>
      <w:tr w:rsidR="00FF6CCE" w:rsidTr="00FF6CCE">
        <w:trPr>
          <w:trHeight w:val="285"/>
        </w:trPr>
        <w:tc>
          <w:tcPr>
            <w:tcW w:w="2683" w:type="dxa"/>
            <w:tcBorders>
              <w:top w:val="nil"/>
              <w:left w:val="single" w:sz="4" w:space="0" w:color="auto"/>
              <w:bottom w:val="single" w:sz="4" w:space="0" w:color="auto"/>
              <w:right w:val="single" w:sz="4" w:space="0" w:color="auto"/>
            </w:tcBorders>
            <w:vAlign w:val="center"/>
          </w:tcPr>
          <w:p w:rsidR="00FF6CCE" w:rsidRDefault="00FF6CCE" w:rsidP="00FF6CCE">
            <w:pPr>
              <w:ind w:firstLineChars="100" w:firstLine="220"/>
              <w:jc w:val="left"/>
              <w:rPr>
                <w:rFonts w:ascii="宋体" w:hAnsi="宋体" w:cs="宋体"/>
                <w:sz w:val="22"/>
                <w:szCs w:val="22"/>
              </w:rPr>
            </w:pPr>
            <w:r>
              <w:rPr>
                <w:rFonts w:ascii="宋体" w:hAnsi="宋体" w:cs="宋体" w:hint="eastAsia"/>
                <w:sz w:val="22"/>
                <w:szCs w:val="22"/>
              </w:rPr>
              <w:t>交通</w:t>
            </w:r>
          </w:p>
        </w:tc>
        <w:tc>
          <w:tcPr>
            <w:tcW w:w="244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17,968</w:t>
            </w:r>
          </w:p>
        </w:tc>
        <w:tc>
          <w:tcPr>
            <w:tcW w:w="213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8,774</w:t>
            </w:r>
          </w:p>
        </w:tc>
        <w:tc>
          <w:tcPr>
            <w:tcW w:w="2133"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1,745</w:t>
            </w:r>
          </w:p>
        </w:tc>
      </w:tr>
      <w:tr w:rsidR="00FF6CCE" w:rsidTr="00FF6CCE">
        <w:trPr>
          <w:trHeight w:val="285"/>
        </w:trPr>
        <w:tc>
          <w:tcPr>
            <w:tcW w:w="2683" w:type="dxa"/>
            <w:tcBorders>
              <w:top w:val="nil"/>
              <w:left w:val="single" w:sz="4" w:space="0" w:color="auto"/>
              <w:bottom w:val="single" w:sz="4" w:space="0" w:color="auto"/>
              <w:right w:val="single" w:sz="4" w:space="0" w:color="auto"/>
            </w:tcBorders>
            <w:vAlign w:val="center"/>
          </w:tcPr>
          <w:p w:rsidR="00FF6CCE" w:rsidRDefault="00FF6CCE" w:rsidP="00FF6CCE">
            <w:pPr>
              <w:ind w:firstLineChars="100" w:firstLine="220"/>
              <w:jc w:val="left"/>
              <w:rPr>
                <w:rFonts w:ascii="宋体" w:hAnsi="宋体" w:cs="宋体"/>
                <w:sz w:val="22"/>
                <w:szCs w:val="22"/>
              </w:rPr>
            </w:pPr>
            <w:r>
              <w:rPr>
                <w:rFonts w:ascii="宋体" w:hAnsi="宋体" w:cs="宋体" w:hint="eastAsia"/>
                <w:sz w:val="22"/>
                <w:szCs w:val="22"/>
              </w:rPr>
              <w:t>税收条款</w:t>
            </w:r>
          </w:p>
        </w:tc>
        <w:tc>
          <w:tcPr>
            <w:tcW w:w="244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29,523</w:t>
            </w:r>
          </w:p>
        </w:tc>
        <w:tc>
          <w:tcPr>
            <w:tcW w:w="2135"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2,115</w:t>
            </w:r>
          </w:p>
        </w:tc>
        <w:tc>
          <w:tcPr>
            <w:tcW w:w="2133"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2,115</w:t>
            </w:r>
          </w:p>
        </w:tc>
      </w:tr>
    </w:tbl>
    <w:p w:rsidR="00FF6CCE" w:rsidRDefault="00FF6CCE" w:rsidP="00FF6CCE">
      <w:pPr>
        <w:pStyle w:val="a2"/>
        <w:ind w:left="840"/>
        <w:rPr>
          <w:rFonts w:hint="eastAsia"/>
        </w:rPr>
      </w:pPr>
      <w:r>
        <w:rPr>
          <w:rFonts w:hint="eastAsia"/>
        </w:rPr>
        <w:t>（资料来源：美国经济顾问委员会</w:t>
      </w:r>
      <w:r>
        <w:rPr>
          <w:rFonts w:hint="eastAsia"/>
        </w:rPr>
        <w:t>2010</w:t>
      </w:r>
      <w:r>
        <w:rPr>
          <w:rFonts w:hint="eastAsia"/>
        </w:rPr>
        <w:t>年。）</w:t>
      </w:r>
    </w:p>
    <w:p w:rsidR="00FF6CCE" w:rsidRDefault="00FF6CCE" w:rsidP="00FF6CCE">
      <w:pPr>
        <w:ind w:firstLine="360"/>
        <w:rPr>
          <w:rFonts w:ascii="宋体" w:hAnsi="宋体" w:hint="eastAsia"/>
          <w:sz w:val="18"/>
          <w:szCs w:val="18"/>
        </w:rPr>
      </w:pPr>
    </w:p>
    <w:p w:rsidR="00FF6CCE" w:rsidRDefault="00FF6CCE" w:rsidP="00FF6CCE">
      <w:pPr>
        <w:jc w:val="center"/>
        <w:rPr>
          <w:rFonts w:hAnsi="宋体"/>
        </w:rPr>
      </w:pPr>
      <w:r>
        <w:rPr>
          <w:noProof/>
          <w:lang w:eastAsia="en-US"/>
        </w:rPr>
        <w:drawing>
          <wp:inline distT="0" distB="0" distL="0" distR="0">
            <wp:extent cx="4248150" cy="1673860"/>
            <wp:effectExtent l="0" t="0" r="0" b="2540"/>
            <wp:docPr id="44" name="Picture 22"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48150" cy="1673860"/>
                    </a:xfrm>
                    <a:prstGeom prst="rect">
                      <a:avLst/>
                    </a:prstGeom>
                    <a:noFill/>
                    <a:ln>
                      <a:noFill/>
                    </a:ln>
                  </pic:spPr>
                </pic:pic>
              </a:graphicData>
            </a:graphic>
          </wp:inline>
        </w:drawing>
      </w:r>
    </w:p>
    <w:p w:rsidR="00FF6CCE" w:rsidRDefault="00FF6CCE" w:rsidP="00FF6CCE">
      <w:pPr>
        <w:pStyle w:val="a3"/>
        <w:numPr>
          <w:ilvl w:val="0"/>
          <w:numId w:val="11"/>
        </w:numPr>
        <w:tabs>
          <w:tab w:val="left" w:pos="1928"/>
        </w:tabs>
        <w:ind w:left="900" w:hanging="480"/>
      </w:pPr>
      <w:bookmarkStart w:id="254" w:name="_Toc392513089"/>
      <w:r>
        <w:rPr>
          <w:rFonts w:hint="eastAsia"/>
        </w:rPr>
        <w:t>投入清洁能源技术的公共刺激性资金（</w:t>
      </w:r>
      <w:r>
        <w:t>2008</w:t>
      </w:r>
      <w:r>
        <w:rPr>
          <w:rFonts w:hint="eastAsia"/>
        </w:rPr>
        <w:t>年至</w:t>
      </w:r>
      <w:r>
        <w:t>2009</w:t>
      </w:r>
      <w:r>
        <w:rPr>
          <w:rFonts w:hint="eastAsia"/>
        </w:rPr>
        <w:t>年）</w:t>
      </w:r>
      <w:bookmarkEnd w:id="254"/>
    </w:p>
    <w:p w:rsidR="00FF6CCE" w:rsidRDefault="00FF6CCE" w:rsidP="00FF6CCE">
      <w:pPr>
        <w:pStyle w:val="a2"/>
        <w:ind w:left="840"/>
        <w:rPr>
          <w:rFonts w:hint="eastAsia"/>
        </w:rPr>
      </w:pPr>
      <w:r>
        <w:rPr>
          <w:rFonts w:hint="eastAsia"/>
        </w:rPr>
        <w:t>（</w:t>
      </w:r>
      <w:r>
        <w:t>资料来源：国家科学委员会</w:t>
      </w:r>
      <w:r>
        <w:t>2012</w:t>
      </w:r>
      <w:r>
        <w:rPr>
          <w:rFonts w:hint="eastAsia"/>
        </w:rPr>
        <w:t>）</w:t>
      </w:r>
    </w:p>
    <w:p w:rsidR="00FF6CCE" w:rsidRDefault="00FF6CCE" w:rsidP="00FF6CCE">
      <w:pPr>
        <w:ind w:firstLine="480"/>
      </w:pPr>
      <w:r>
        <w:rPr>
          <w:rFonts w:hint="eastAsia"/>
        </w:rPr>
        <w:t>由于获得商业贷款有各种挑战，以及受困于</w:t>
      </w:r>
      <w:r>
        <w:t>PTC</w:t>
      </w:r>
      <w:r>
        <w:rPr>
          <w:rFonts w:hint="eastAsia"/>
        </w:rPr>
        <w:t>能否延长至</w:t>
      </w:r>
      <w:r>
        <w:t>2012</w:t>
      </w:r>
      <w:r>
        <w:rPr>
          <w:rFonts w:hint="eastAsia"/>
        </w:rPr>
        <w:t>年以后的不确定，该行业自</w:t>
      </w:r>
      <w:r>
        <w:t>2009</w:t>
      </w:r>
      <w:r>
        <w:rPr>
          <w:rFonts w:hint="eastAsia"/>
        </w:rPr>
        <w:t>年金融危机以来在保持其开发速度方面遇到了挑战。在过去的十年里，</w:t>
      </w:r>
      <w:r>
        <w:t xml:space="preserve">PTC </w:t>
      </w:r>
      <w:r>
        <w:rPr>
          <w:rFonts w:hint="eastAsia"/>
        </w:rPr>
        <w:t>仅被短期地更新过几次，而且每一次更新的不确定性均对市场产生直接影响。</w:t>
      </w:r>
      <w:r>
        <w:t xml:space="preserve"> PTC</w:t>
      </w:r>
      <w:r>
        <w:rPr>
          <w:rFonts w:hint="eastAsia"/>
        </w:rPr>
        <w:t>在</w:t>
      </w:r>
      <w:r>
        <w:t>1999</w:t>
      </w:r>
      <w:r>
        <w:rPr>
          <w:rFonts w:hint="eastAsia"/>
        </w:rPr>
        <w:t>年、</w:t>
      </w:r>
      <w:r>
        <w:t>2001</w:t>
      </w:r>
      <w:r>
        <w:rPr>
          <w:rFonts w:hint="eastAsia"/>
        </w:rPr>
        <w:t>年和</w:t>
      </w:r>
      <w:r>
        <w:t>2003</w:t>
      </w:r>
      <w:r>
        <w:rPr>
          <w:rFonts w:hint="eastAsia"/>
        </w:rPr>
        <w:t>年被中止过，而每一次中止均对美国市场上的下一个年度的已装机风电容量造成下降。</w:t>
      </w:r>
      <w:r>
        <w:t xml:space="preserve"> </w:t>
      </w:r>
      <w:r>
        <w:rPr>
          <w:rFonts w:hint="eastAsia"/>
        </w:rPr>
        <w:t>对于技术提供方来说，该管制的不确定性已经造成制造容量投资不足，并造成设备和供应费用的变动。</w:t>
      </w:r>
    </w:p>
    <w:p w:rsidR="00FF6CCE" w:rsidRDefault="00FF6CCE" w:rsidP="00FF6CCE">
      <w:pPr>
        <w:pStyle w:val="a"/>
        <w:numPr>
          <w:ilvl w:val="0"/>
          <w:numId w:val="10"/>
        </w:numPr>
        <w:tabs>
          <w:tab w:val="clear" w:pos="0"/>
        </w:tabs>
        <w:rPr>
          <w:rFonts w:hint="eastAsia"/>
        </w:rPr>
      </w:pPr>
      <w:bookmarkStart w:id="255" w:name="_Toc392513101"/>
      <w:r>
        <w:rPr>
          <w:rFonts w:hint="eastAsia"/>
        </w:rPr>
        <w:t>美国对可再生能源的关键扶持政策机制</w:t>
      </w:r>
      <w:bookmarkEnd w:id="255"/>
    </w:p>
    <w:tbl>
      <w:tblPr>
        <w:tblW w:w="9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2"/>
        <w:gridCol w:w="4186"/>
        <w:gridCol w:w="4129"/>
      </w:tblGrid>
      <w:tr w:rsidR="00FF6CCE" w:rsidTr="00FF6CCE">
        <w:trPr>
          <w:trHeight w:val="300"/>
        </w:trPr>
        <w:tc>
          <w:tcPr>
            <w:tcW w:w="1302" w:type="dxa"/>
          </w:tcPr>
          <w:p w:rsidR="00FF6CCE" w:rsidRDefault="00FF6CCE" w:rsidP="00FF6CCE">
            <w:pPr>
              <w:jc w:val="center"/>
              <w:rPr>
                <w:rFonts w:ascii="宋体" w:hAnsi="宋体" w:cs="宋体"/>
                <w:b/>
                <w:bCs/>
                <w:szCs w:val="24"/>
              </w:rPr>
            </w:pPr>
            <w:r>
              <w:rPr>
                <w:rFonts w:ascii="宋体" w:hAnsi="宋体" w:cs="宋体" w:hint="eastAsia"/>
                <w:b/>
                <w:bCs/>
                <w:szCs w:val="24"/>
              </w:rPr>
              <w:t>机制</w:t>
            </w:r>
          </w:p>
        </w:tc>
        <w:tc>
          <w:tcPr>
            <w:tcW w:w="4186" w:type="dxa"/>
          </w:tcPr>
          <w:p w:rsidR="00FF6CCE" w:rsidRDefault="00FF6CCE" w:rsidP="00FF6CCE">
            <w:pPr>
              <w:jc w:val="center"/>
              <w:rPr>
                <w:rFonts w:ascii="宋体" w:hAnsi="宋体" w:cs="宋体"/>
                <w:b/>
                <w:bCs/>
                <w:szCs w:val="24"/>
              </w:rPr>
            </w:pPr>
            <w:r>
              <w:rPr>
                <w:rFonts w:ascii="宋体" w:hAnsi="宋体" w:cs="宋体" w:hint="eastAsia"/>
                <w:b/>
                <w:bCs/>
                <w:szCs w:val="24"/>
              </w:rPr>
              <w:t>目的</w:t>
            </w:r>
          </w:p>
        </w:tc>
        <w:tc>
          <w:tcPr>
            <w:tcW w:w="4129" w:type="dxa"/>
          </w:tcPr>
          <w:p w:rsidR="00FF6CCE" w:rsidRDefault="00FF6CCE" w:rsidP="00FF6CCE">
            <w:pPr>
              <w:jc w:val="center"/>
              <w:rPr>
                <w:rFonts w:ascii="宋体" w:hAnsi="宋体" w:cs="宋体"/>
                <w:b/>
                <w:bCs/>
                <w:szCs w:val="24"/>
              </w:rPr>
            </w:pPr>
            <w:r>
              <w:rPr>
                <w:rFonts w:ascii="宋体" w:hAnsi="宋体" w:cs="宋体" w:hint="eastAsia"/>
                <w:b/>
                <w:bCs/>
                <w:szCs w:val="24"/>
              </w:rPr>
              <w:t>形势</w:t>
            </w:r>
          </w:p>
        </w:tc>
      </w:tr>
      <w:tr w:rsidR="00FF6CCE" w:rsidTr="00FF6CCE">
        <w:trPr>
          <w:trHeight w:val="1427"/>
        </w:trPr>
        <w:tc>
          <w:tcPr>
            <w:tcW w:w="1302" w:type="dxa"/>
            <w:vAlign w:val="center"/>
          </w:tcPr>
          <w:p w:rsidR="00FF6CCE" w:rsidRDefault="00FF6CCE" w:rsidP="00FF6CCE">
            <w:pPr>
              <w:jc w:val="center"/>
              <w:rPr>
                <w:rFonts w:ascii="宋体" w:hAnsi="宋体" w:cs="宋体" w:hint="eastAsia"/>
                <w:szCs w:val="24"/>
              </w:rPr>
            </w:pPr>
            <w:r>
              <w:rPr>
                <w:rFonts w:ascii="宋体" w:hAnsi="宋体" w:cs="宋体" w:hint="eastAsia"/>
                <w:szCs w:val="24"/>
              </w:rPr>
              <w:t>生产税收</w:t>
            </w:r>
          </w:p>
          <w:p w:rsidR="00FF6CCE" w:rsidRDefault="00FF6CCE" w:rsidP="00FF6CCE">
            <w:pPr>
              <w:jc w:val="center"/>
              <w:rPr>
                <w:rFonts w:ascii="宋体" w:hAnsi="宋体" w:cs="宋体"/>
                <w:szCs w:val="24"/>
              </w:rPr>
            </w:pPr>
            <w:r>
              <w:rPr>
                <w:rFonts w:ascii="宋体" w:hAnsi="宋体" w:cs="宋体" w:hint="eastAsia"/>
                <w:szCs w:val="24"/>
              </w:rPr>
              <w:t>抵免</w:t>
            </w:r>
          </w:p>
        </w:tc>
        <w:tc>
          <w:tcPr>
            <w:tcW w:w="4186" w:type="dxa"/>
          </w:tcPr>
          <w:p w:rsidR="00FF6CCE" w:rsidRDefault="00FF6CCE" w:rsidP="00FF6CCE">
            <w:pPr>
              <w:rPr>
                <w:rFonts w:ascii="宋体" w:hAnsi="宋体" w:cs="宋体" w:hint="eastAsia"/>
                <w:szCs w:val="24"/>
              </w:rPr>
            </w:pPr>
            <w:r>
              <w:rPr>
                <w:rFonts w:ascii="宋体" w:hAnsi="宋体" w:cs="宋体" w:hint="eastAsia"/>
                <w:szCs w:val="24"/>
              </w:rPr>
              <w:t>通过</w:t>
            </w:r>
            <w:r>
              <w:rPr>
                <w:rFonts w:ascii="宋体" w:hAnsi="宋体"/>
                <w:szCs w:val="24"/>
              </w:rPr>
              <w:t>PTC</w:t>
            </w:r>
            <w:r>
              <w:rPr>
                <w:rFonts w:ascii="宋体" w:hAnsi="宋体" w:cs="宋体" w:hint="eastAsia"/>
                <w:szCs w:val="24"/>
              </w:rPr>
              <w:t>对风能，闭环生物量，地热</w:t>
            </w:r>
            <w:r>
              <w:rPr>
                <w:rFonts w:ascii="宋体" w:hAnsi="宋体"/>
                <w:szCs w:val="24"/>
              </w:rPr>
              <w:t>($0.22/kWh)</w:t>
            </w:r>
            <w:r>
              <w:rPr>
                <w:rFonts w:ascii="宋体" w:hAnsi="宋体" w:cs="宋体" w:hint="eastAsia"/>
                <w:szCs w:val="24"/>
              </w:rPr>
              <w:t>，垃圾填埋，开环生物量，城市固体废物，水电，海洋何流体动力设备</w:t>
            </w:r>
            <w:r>
              <w:rPr>
                <w:rFonts w:ascii="宋体" w:hAnsi="宋体"/>
                <w:szCs w:val="24"/>
              </w:rPr>
              <w:t>($0.11/kWh)</w:t>
            </w:r>
            <w:r>
              <w:rPr>
                <w:rFonts w:ascii="宋体" w:hAnsi="宋体" w:cs="宋体" w:hint="eastAsia"/>
                <w:szCs w:val="24"/>
              </w:rPr>
              <w:t>通过在</w:t>
            </w:r>
            <w:r>
              <w:rPr>
                <w:rFonts w:ascii="宋体" w:hAnsi="宋体"/>
                <w:szCs w:val="24"/>
              </w:rPr>
              <w:t>10</w:t>
            </w:r>
            <w:r>
              <w:rPr>
                <w:rFonts w:ascii="宋体" w:hAnsi="宋体" w:cs="宋体" w:hint="eastAsia"/>
                <w:szCs w:val="24"/>
              </w:rPr>
              <w:t>年间对通货膨胀的调整，鼓励可再生能源项目的开发</w:t>
            </w:r>
            <w:r>
              <w:rPr>
                <w:rFonts w:ascii="宋体" w:hAnsi="宋体" w:hint="eastAsia"/>
                <w:szCs w:val="24"/>
              </w:rPr>
              <w:t>。</w:t>
            </w:r>
          </w:p>
        </w:tc>
        <w:tc>
          <w:tcPr>
            <w:tcW w:w="4129" w:type="dxa"/>
          </w:tcPr>
          <w:p w:rsidR="00FF6CCE" w:rsidRDefault="00FF6CCE" w:rsidP="00FF6CCE">
            <w:pPr>
              <w:rPr>
                <w:rFonts w:ascii="宋体" w:hAnsi="宋体" w:cs="宋体"/>
                <w:szCs w:val="24"/>
              </w:rPr>
            </w:pPr>
            <w:r>
              <w:rPr>
                <w:rFonts w:ascii="宋体" w:hAnsi="宋体" w:cs="宋体" w:hint="eastAsia"/>
                <w:szCs w:val="24"/>
              </w:rPr>
              <w:t>目前</w:t>
            </w:r>
            <w:r>
              <w:rPr>
                <w:rFonts w:ascii="宋体" w:hAnsi="宋体"/>
                <w:szCs w:val="24"/>
              </w:rPr>
              <w:t xml:space="preserve">, </w:t>
            </w:r>
            <w:r>
              <w:rPr>
                <w:rFonts w:ascii="宋体" w:hAnsi="宋体" w:cs="宋体" w:hint="eastAsia"/>
                <w:szCs w:val="24"/>
              </w:rPr>
              <w:t>如在</w:t>
            </w:r>
            <w:r>
              <w:rPr>
                <w:rFonts w:ascii="宋体" w:hAnsi="宋体"/>
                <w:szCs w:val="24"/>
              </w:rPr>
              <w:t>2012</w:t>
            </w:r>
            <w:r>
              <w:rPr>
                <w:rFonts w:ascii="宋体" w:hAnsi="宋体" w:cs="宋体" w:hint="eastAsia"/>
                <w:szCs w:val="24"/>
              </w:rPr>
              <w:t>年末能够投产的风能项目能够得到</w:t>
            </w:r>
            <w:r>
              <w:rPr>
                <w:rFonts w:ascii="宋体" w:hAnsi="宋体"/>
                <w:szCs w:val="24"/>
              </w:rPr>
              <w:t>10</w:t>
            </w:r>
            <w:r>
              <w:rPr>
                <w:rFonts w:ascii="宋体" w:hAnsi="宋体" w:cs="宋体" w:hint="eastAsia"/>
                <w:szCs w:val="24"/>
              </w:rPr>
              <w:t>年的</w:t>
            </w:r>
            <w:r>
              <w:rPr>
                <w:rFonts w:ascii="宋体" w:hAnsi="宋体"/>
                <w:szCs w:val="24"/>
              </w:rPr>
              <w:t>PTC</w:t>
            </w:r>
            <w:r>
              <w:rPr>
                <w:rFonts w:ascii="宋体" w:hAnsi="宋体" w:cs="宋体" w:hint="eastAsia"/>
                <w:szCs w:val="24"/>
              </w:rPr>
              <w:t>，其他可再生能源技术会有更多的年数来联网比如，在</w:t>
            </w:r>
            <w:r>
              <w:rPr>
                <w:rFonts w:ascii="宋体" w:hAnsi="宋体"/>
                <w:szCs w:val="24"/>
              </w:rPr>
              <w:t xml:space="preserve"> 2013</w:t>
            </w:r>
            <w:r>
              <w:rPr>
                <w:rFonts w:ascii="宋体" w:hAnsi="宋体" w:cs="宋体" w:hint="eastAsia"/>
                <w:szCs w:val="24"/>
              </w:rPr>
              <w:t>年末联网。</w:t>
            </w:r>
          </w:p>
        </w:tc>
      </w:tr>
      <w:tr w:rsidR="00FF6CCE" w:rsidTr="00FF6CCE">
        <w:trPr>
          <w:trHeight w:val="1283"/>
        </w:trPr>
        <w:tc>
          <w:tcPr>
            <w:tcW w:w="1302" w:type="dxa"/>
            <w:vAlign w:val="center"/>
          </w:tcPr>
          <w:p w:rsidR="00FF6CCE" w:rsidRDefault="00FF6CCE" w:rsidP="00FF6CCE">
            <w:pPr>
              <w:jc w:val="center"/>
              <w:rPr>
                <w:rFonts w:ascii="宋体" w:hAnsi="宋体" w:cs="宋体" w:hint="eastAsia"/>
                <w:szCs w:val="24"/>
              </w:rPr>
            </w:pPr>
            <w:r>
              <w:rPr>
                <w:rFonts w:ascii="宋体" w:hAnsi="宋体" w:cs="宋体" w:hint="eastAsia"/>
                <w:szCs w:val="24"/>
              </w:rPr>
              <w:t>投资税收</w:t>
            </w:r>
          </w:p>
          <w:p w:rsidR="00FF6CCE" w:rsidRDefault="00FF6CCE" w:rsidP="00FF6CCE">
            <w:pPr>
              <w:jc w:val="center"/>
              <w:rPr>
                <w:rFonts w:ascii="宋体" w:hAnsi="宋体" w:cs="宋体"/>
                <w:szCs w:val="24"/>
              </w:rPr>
            </w:pPr>
            <w:r>
              <w:rPr>
                <w:rFonts w:ascii="宋体" w:hAnsi="宋体" w:cs="宋体" w:hint="eastAsia"/>
                <w:szCs w:val="24"/>
              </w:rPr>
              <w:t>抵免</w:t>
            </w:r>
          </w:p>
        </w:tc>
        <w:tc>
          <w:tcPr>
            <w:tcW w:w="4186" w:type="dxa"/>
          </w:tcPr>
          <w:p w:rsidR="00FF6CCE" w:rsidRDefault="00FF6CCE" w:rsidP="00FF6CCE">
            <w:pPr>
              <w:rPr>
                <w:rFonts w:ascii="宋体" w:hAnsi="宋体" w:cs="宋体"/>
                <w:szCs w:val="24"/>
              </w:rPr>
            </w:pPr>
            <w:r>
              <w:rPr>
                <w:rFonts w:ascii="宋体" w:hAnsi="宋体" w:cs="宋体" w:hint="eastAsia"/>
                <w:szCs w:val="24"/>
              </w:rPr>
              <w:t>鼓励可再生能源计划的发展，对于符合规格的太阳能，燃料电池和小型风能项目予以</w:t>
            </w:r>
            <w:r>
              <w:rPr>
                <w:rFonts w:ascii="宋体" w:hAnsi="宋体"/>
                <w:szCs w:val="24"/>
              </w:rPr>
              <w:t>30%</w:t>
            </w:r>
            <w:r>
              <w:rPr>
                <w:rFonts w:ascii="宋体" w:hAnsi="宋体" w:cs="宋体" w:hint="eastAsia"/>
                <w:szCs w:val="24"/>
              </w:rPr>
              <w:t>的</w:t>
            </w:r>
            <w:r>
              <w:rPr>
                <w:rFonts w:ascii="宋体" w:hAnsi="宋体"/>
                <w:szCs w:val="24"/>
              </w:rPr>
              <w:t>ITC</w:t>
            </w:r>
            <w:r>
              <w:rPr>
                <w:rFonts w:ascii="宋体" w:hAnsi="宋体" w:cs="宋体" w:hint="eastAsia"/>
                <w:szCs w:val="24"/>
              </w:rPr>
              <w:t>减免，地热能，微型燃气轮机和热点联项目抵减</w:t>
            </w:r>
            <w:r>
              <w:rPr>
                <w:rFonts w:ascii="宋体" w:hAnsi="宋体"/>
                <w:szCs w:val="24"/>
              </w:rPr>
              <w:t>10%</w:t>
            </w:r>
            <w:r>
              <w:rPr>
                <w:rFonts w:ascii="宋体" w:hAnsi="宋体" w:cs="宋体" w:hint="eastAsia"/>
                <w:szCs w:val="24"/>
              </w:rPr>
              <w:t>。</w:t>
            </w:r>
          </w:p>
        </w:tc>
        <w:tc>
          <w:tcPr>
            <w:tcW w:w="4129" w:type="dxa"/>
          </w:tcPr>
          <w:p w:rsidR="00FF6CCE" w:rsidRDefault="00FF6CCE" w:rsidP="00FF6CCE">
            <w:pPr>
              <w:rPr>
                <w:rFonts w:ascii="宋体" w:hAnsi="宋体" w:cs="宋体" w:hint="eastAsia"/>
                <w:szCs w:val="24"/>
              </w:rPr>
            </w:pPr>
            <w:r>
              <w:rPr>
                <w:rFonts w:ascii="宋体" w:hAnsi="宋体" w:cs="宋体" w:hint="eastAsia"/>
                <w:szCs w:val="24"/>
              </w:rPr>
              <w:t>在</w:t>
            </w:r>
            <w:r>
              <w:rPr>
                <w:rFonts w:ascii="宋体" w:hAnsi="宋体"/>
                <w:szCs w:val="24"/>
              </w:rPr>
              <w:t>ITC</w:t>
            </w:r>
            <w:r>
              <w:rPr>
                <w:rFonts w:ascii="宋体" w:hAnsi="宋体" w:cs="宋体" w:hint="eastAsia"/>
                <w:szCs w:val="24"/>
              </w:rPr>
              <w:t>目前通过的项目在</w:t>
            </w:r>
            <w:r>
              <w:rPr>
                <w:rFonts w:ascii="宋体" w:hAnsi="宋体"/>
                <w:szCs w:val="24"/>
              </w:rPr>
              <w:t>2016</w:t>
            </w:r>
            <w:r>
              <w:rPr>
                <w:rFonts w:ascii="宋体" w:hAnsi="宋体" w:cs="宋体" w:hint="eastAsia"/>
                <w:szCs w:val="24"/>
              </w:rPr>
              <w:t>年以前已经在实施</w:t>
            </w:r>
            <w:r>
              <w:rPr>
                <w:rFonts w:ascii="宋体" w:hAnsi="宋体"/>
                <w:szCs w:val="24"/>
              </w:rPr>
              <w:t xml:space="preserve"> (</w:t>
            </w:r>
            <w:r>
              <w:rPr>
                <w:rFonts w:ascii="宋体" w:hAnsi="宋体" w:cs="宋体" w:hint="eastAsia"/>
                <w:szCs w:val="24"/>
              </w:rPr>
              <w:t>除了没有过期日期的地热信贷贷款和</w:t>
            </w:r>
            <w:r>
              <w:rPr>
                <w:rFonts w:ascii="宋体" w:hAnsi="宋体"/>
                <w:szCs w:val="24"/>
              </w:rPr>
              <w:t xml:space="preserve"> </w:t>
            </w:r>
            <w:r>
              <w:rPr>
                <w:rFonts w:ascii="宋体" w:hAnsi="宋体" w:cs="宋体" w:hint="eastAsia"/>
                <w:szCs w:val="24"/>
              </w:rPr>
              <w:t>太阳能贷款，太阳能贷款如果不能增加的话，将减少</w:t>
            </w:r>
            <w:r>
              <w:rPr>
                <w:rFonts w:ascii="宋体" w:hAnsi="宋体"/>
                <w:szCs w:val="24"/>
              </w:rPr>
              <w:t>10%)</w:t>
            </w:r>
            <w:r>
              <w:rPr>
                <w:rFonts w:ascii="宋体" w:hAnsi="宋体" w:hint="eastAsia"/>
                <w:szCs w:val="24"/>
              </w:rPr>
              <w:t>。</w:t>
            </w:r>
          </w:p>
        </w:tc>
      </w:tr>
      <w:tr w:rsidR="00FF6CCE" w:rsidTr="00FF6CCE">
        <w:trPr>
          <w:trHeight w:val="1679"/>
        </w:trPr>
        <w:tc>
          <w:tcPr>
            <w:tcW w:w="1302" w:type="dxa"/>
            <w:vAlign w:val="center"/>
          </w:tcPr>
          <w:p w:rsidR="00FF6CCE" w:rsidRDefault="00FF6CCE" w:rsidP="00FF6CCE">
            <w:pPr>
              <w:jc w:val="center"/>
              <w:rPr>
                <w:rFonts w:ascii="宋体" w:hAnsi="宋体" w:cs="宋体" w:hint="eastAsia"/>
                <w:szCs w:val="24"/>
              </w:rPr>
            </w:pPr>
            <w:r>
              <w:rPr>
                <w:rFonts w:ascii="宋体" w:hAnsi="宋体" w:cs="宋体" w:hint="eastAsia"/>
                <w:szCs w:val="24"/>
              </w:rPr>
              <w:t>贷款担保</w:t>
            </w:r>
          </w:p>
          <w:p w:rsidR="00FF6CCE" w:rsidRDefault="00FF6CCE" w:rsidP="00FF6CCE">
            <w:pPr>
              <w:jc w:val="center"/>
              <w:rPr>
                <w:rFonts w:ascii="宋体" w:hAnsi="宋体" w:cs="宋体"/>
                <w:szCs w:val="24"/>
              </w:rPr>
            </w:pPr>
            <w:r>
              <w:rPr>
                <w:rFonts w:ascii="宋体" w:hAnsi="宋体" w:cs="宋体" w:hint="eastAsia"/>
                <w:szCs w:val="24"/>
              </w:rPr>
              <w:t>计划</w:t>
            </w:r>
          </w:p>
        </w:tc>
        <w:tc>
          <w:tcPr>
            <w:tcW w:w="4186" w:type="dxa"/>
          </w:tcPr>
          <w:p w:rsidR="00FF6CCE" w:rsidRDefault="00FF6CCE" w:rsidP="00FF6CCE">
            <w:pPr>
              <w:rPr>
                <w:rFonts w:ascii="宋体" w:hAnsi="宋体" w:hint="eastAsia"/>
                <w:szCs w:val="24"/>
              </w:rPr>
            </w:pPr>
            <w:r>
              <w:rPr>
                <w:rFonts w:ascii="宋体" w:hAnsi="宋体"/>
                <w:szCs w:val="24"/>
              </w:rPr>
              <w:t xml:space="preserve"> LGP (1703</w:t>
            </w:r>
            <w:r>
              <w:rPr>
                <w:rFonts w:ascii="宋体" w:hAnsi="宋体" w:hint="eastAsia"/>
                <w:szCs w:val="24"/>
              </w:rPr>
              <w:t>部分</w:t>
            </w:r>
            <w:r>
              <w:rPr>
                <w:rFonts w:ascii="宋体" w:hAnsi="宋体"/>
                <w:szCs w:val="24"/>
              </w:rPr>
              <w:t xml:space="preserve">) </w:t>
            </w:r>
            <w:r>
              <w:rPr>
                <w:rFonts w:ascii="宋体" w:hAnsi="宋体" w:hint="eastAsia"/>
                <w:szCs w:val="24"/>
              </w:rPr>
              <w:t>是为了减轻创新技术获得融资的门槛</w:t>
            </w:r>
            <w:r>
              <w:rPr>
                <w:rFonts w:ascii="宋体" w:hAnsi="宋体"/>
                <w:szCs w:val="24"/>
              </w:rPr>
              <w:t xml:space="preserve">. </w:t>
            </w:r>
            <w:r>
              <w:rPr>
                <w:rFonts w:ascii="宋体" w:hAnsi="宋体" w:hint="eastAsia"/>
                <w:szCs w:val="24"/>
              </w:rPr>
              <w:t>这个项目被</w:t>
            </w:r>
            <w:r>
              <w:rPr>
                <w:rFonts w:ascii="宋体" w:hAnsi="宋体"/>
                <w:szCs w:val="24"/>
              </w:rPr>
              <w:t>ARRA</w:t>
            </w:r>
            <w:r>
              <w:rPr>
                <w:rFonts w:ascii="宋体" w:hAnsi="宋体" w:hint="eastAsia"/>
                <w:szCs w:val="24"/>
              </w:rPr>
              <w:t>在</w:t>
            </w:r>
            <w:r>
              <w:rPr>
                <w:rFonts w:ascii="宋体" w:hAnsi="宋体"/>
                <w:szCs w:val="24"/>
              </w:rPr>
              <w:t xml:space="preserve"> (1705</w:t>
            </w:r>
            <w:r>
              <w:rPr>
                <w:rFonts w:ascii="宋体" w:hAnsi="宋体" w:hint="eastAsia"/>
                <w:szCs w:val="24"/>
              </w:rPr>
              <w:t>部分</w:t>
            </w:r>
            <w:r>
              <w:rPr>
                <w:rFonts w:ascii="宋体" w:hAnsi="宋体"/>
                <w:szCs w:val="24"/>
              </w:rPr>
              <w:t>)</w:t>
            </w:r>
            <w:r>
              <w:rPr>
                <w:rFonts w:ascii="宋体" w:hAnsi="宋体" w:hint="eastAsia"/>
                <w:szCs w:val="24"/>
              </w:rPr>
              <w:t>中得到了商业项目的延伸</w:t>
            </w:r>
            <w:r>
              <w:rPr>
                <w:rFonts w:ascii="宋体" w:hAnsi="宋体"/>
                <w:szCs w:val="24"/>
              </w:rPr>
              <w:t xml:space="preserve"> .</w:t>
            </w:r>
            <w:r>
              <w:rPr>
                <w:rFonts w:ascii="宋体" w:hAnsi="宋体" w:hint="eastAsia"/>
                <w:szCs w:val="24"/>
              </w:rPr>
              <w:t>在</w:t>
            </w:r>
            <w:r>
              <w:rPr>
                <w:rFonts w:ascii="宋体" w:hAnsi="宋体"/>
                <w:szCs w:val="24"/>
              </w:rPr>
              <w:t>1703</w:t>
            </w:r>
            <w:r>
              <w:rPr>
                <w:rFonts w:ascii="宋体" w:hAnsi="宋体" w:hint="eastAsia"/>
                <w:szCs w:val="24"/>
              </w:rPr>
              <w:t>部分计划</w:t>
            </w:r>
            <w:r>
              <w:rPr>
                <w:rFonts w:ascii="宋体" w:hAnsi="宋体"/>
                <w:szCs w:val="24"/>
              </w:rPr>
              <w:t xml:space="preserve">, </w:t>
            </w:r>
            <w:r>
              <w:rPr>
                <w:rFonts w:ascii="宋体" w:hAnsi="宋体" w:hint="eastAsia"/>
                <w:szCs w:val="24"/>
              </w:rPr>
              <w:t>借方披露了信贷补贴成本而</w:t>
            </w:r>
            <w:r>
              <w:rPr>
                <w:rFonts w:ascii="宋体" w:hAnsi="宋体"/>
                <w:szCs w:val="24"/>
              </w:rPr>
              <w:t xml:space="preserve"> 1705 </w:t>
            </w:r>
            <w:r>
              <w:rPr>
                <w:rFonts w:ascii="宋体" w:hAnsi="宋体" w:hint="eastAsia"/>
                <w:szCs w:val="24"/>
              </w:rPr>
              <w:t>部分则包括了</w:t>
            </w:r>
            <w:r>
              <w:rPr>
                <w:rFonts w:ascii="宋体" w:hAnsi="宋体"/>
                <w:szCs w:val="24"/>
              </w:rPr>
              <w:t xml:space="preserve"> DOE </w:t>
            </w:r>
            <w:r>
              <w:rPr>
                <w:rFonts w:ascii="宋体" w:hAnsi="宋体" w:hint="eastAsia"/>
                <w:szCs w:val="24"/>
              </w:rPr>
              <w:t>。</w:t>
            </w:r>
          </w:p>
        </w:tc>
        <w:tc>
          <w:tcPr>
            <w:tcW w:w="4129" w:type="dxa"/>
          </w:tcPr>
          <w:p w:rsidR="00FF6CCE" w:rsidRDefault="00FF6CCE" w:rsidP="00FF6CCE">
            <w:pPr>
              <w:rPr>
                <w:rFonts w:ascii="宋体" w:hAnsi="宋体" w:hint="eastAsia"/>
                <w:szCs w:val="24"/>
              </w:rPr>
            </w:pPr>
            <w:r>
              <w:rPr>
                <w:rFonts w:ascii="宋体" w:hAnsi="宋体"/>
                <w:szCs w:val="24"/>
              </w:rPr>
              <w:t>1705</w:t>
            </w:r>
            <w:r>
              <w:rPr>
                <w:rFonts w:ascii="宋体" w:hAnsi="宋体" w:hint="eastAsia"/>
                <w:szCs w:val="24"/>
              </w:rPr>
              <w:t>部分</w:t>
            </w:r>
            <w:r>
              <w:rPr>
                <w:rFonts w:ascii="宋体" w:hAnsi="宋体"/>
                <w:szCs w:val="24"/>
              </w:rPr>
              <w:t xml:space="preserve"> </w:t>
            </w:r>
            <w:r>
              <w:rPr>
                <w:rFonts w:ascii="宋体" w:hAnsi="宋体" w:hint="eastAsia"/>
                <w:szCs w:val="24"/>
              </w:rPr>
              <w:t>需要在</w:t>
            </w:r>
            <w:r>
              <w:rPr>
                <w:rFonts w:ascii="宋体" w:hAnsi="宋体"/>
                <w:szCs w:val="24"/>
              </w:rPr>
              <w:t>2011</w:t>
            </w:r>
            <w:r>
              <w:rPr>
                <w:rFonts w:ascii="宋体" w:hAnsi="宋体" w:hint="eastAsia"/>
                <w:szCs w:val="24"/>
              </w:rPr>
              <w:t>年</w:t>
            </w:r>
            <w:r>
              <w:rPr>
                <w:rFonts w:ascii="宋体" w:hAnsi="宋体"/>
                <w:szCs w:val="24"/>
              </w:rPr>
              <w:t>9</w:t>
            </w:r>
            <w:r>
              <w:rPr>
                <w:rFonts w:ascii="宋体" w:hAnsi="宋体" w:hint="eastAsia"/>
                <w:szCs w:val="24"/>
              </w:rPr>
              <w:t>月</w:t>
            </w:r>
            <w:r>
              <w:rPr>
                <w:rFonts w:ascii="宋体" w:hAnsi="宋体"/>
                <w:szCs w:val="24"/>
              </w:rPr>
              <w:t>30</w:t>
            </w:r>
            <w:r>
              <w:rPr>
                <w:rFonts w:ascii="宋体" w:hAnsi="宋体" w:hint="eastAsia"/>
                <w:szCs w:val="24"/>
              </w:rPr>
              <w:t>日开始</w:t>
            </w:r>
            <w:r>
              <w:rPr>
                <w:rFonts w:ascii="宋体" w:hAnsi="宋体"/>
                <w:szCs w:val="24"/>
              </w:rPr>
              <w:t>.</w:t>
            </w:r>
            <w:r>
              <w:rPr>
                <w:rFonts w:ascii="宋体" w:hAnsi="宋体" w:hint="eastAsia"/>
                <w:szCs w:val="24"/>
              </w:rPr>
              <w:t>从</w:t>
            </w:r>
            <w:r>
              <w:rPr>
                <w:rFonts w:ascii="宋体" w:hAnsi="宋体"/>
                <w:szCs w:val="24"/>
              </w:rPr>
              <w:t>2010</w:t>
            </w:r>
            <w:r>
              <w:rPr>
                <w:rFonts w:ascii="宋体" w:hAnsi="宋体" w:hint="eastAsia"/>
                <w:szCs w:val="24"/>
              </w:rPr>
              <w:t>年</w:t>
            </w:r>
            <w:r>
              <w:rPr>
                <w:rFonts w:ascii="宋体" w:hAnsi="宋体"/>
                <w:szCs w:val="24"/>
              </w:rPr>
              <w:t>10</w:t>
            </w:r>
            <w:r>
              <w:rPr>
                <w:rFonts w:ascii="宋体" w:hAnsi="宋体" w:hint="eastAsia"/>
                <w:szCs w:val="24"/>
              </w:rPr>
              <w:t>月</w:t>
            </w:r>
            <w:r>
              <w:rPr>
                <w:rFonts w:ascii="宋体" w:hAnsi="宋体"/>
                <w:szCs w:val="24"/>
              </w:rPr>
              <w:t>, DOE</w:t>
            </w:r>
            <w:r>
              <w:rPr>
                <w:rFonts w:ascii="宋体" w:hAnsi="宋体" w:hint="eastAsia"/>
                <w:szCs w:val="24"/>
              </w:rPr>
              <w:t>在</w:t>
            </w:r>
            <w:r>
              <w:rPr>
                <w:rFonts w:ascii="宋体" w:hAnsi="宋体"/>
                <w:szCs w:val="24"/>
              </w:rPr>
              <w:t>1703</w:t>
            </w:r>
            <w:r>
              <w:rPr>
                <w:rFonts w:ascii="宋体" w:hAnsi="宋体" w:hint="eastAsia"/>
                <w:szCs w:val="24"/>
              </w:rPr>
              <w:t>框架内已完成</w:t>
            </w:r>
            <w:r>
              <w:rPr>
                <w:rFonts w:ascii="宋体" w:hAnsi="宋体"/>
                <w:szCs w:val="24"/>
              </w:rPr>
              <w:t>4</w:t>
            </w:r>
            <w:r>
              <w:rPr>
                <w:rFonts w:ascii="宋体" w:hAnsi="宋体" w:hint="eastAsia"/>
                <w:szCs w:val="24"/>
              </w:rPr>
              <w:t>项委托业务</w:t>
            </w:r>
            <w:r>
              <w:rPr>
                <w:rFonts w:ascii="宋体" w:hAnsi="宋体"/>
                <w:szCs w:val="24"/>
              </w:rPr>
              <w:t xml:space="preserve">(106.56 </w:t>
            </w:r>
            <w:r>
              <w:rPr>
                <w:rFonts w:ascii="宋体" w:hAnsi="宋体" w:hint="eastAsia"/>
                <w:szCs w:val="24"/>
              </w:rPr>
              <w:t>亿美元</w:t>
            </w:r>
            <w:r>
              <w:rPr>
                <w:rFonts w:ascii="宋体" w:hAnsi="宋体"/>
                <w:szCs w:val="24"/>
              </w:rPr>
              <w:t xml:space="preserve">) </w:t>
            </w:r>
            <w:r>
              <w:rPr>
                <w:rFonts w:ascii="宋体" w:hAnsi="宋体" w:hint="eastAsia"/>
                <w:szCs w:val="24"/>
              </w:rPr>
              <w:t>和</w:t>
            </w:r>
            <w:r>
              <w:rPr>
                <w:rFonts w:ascii="宋体" w:hAnsi="宋体"/>
                <w:szCs w:val="24"/>
              </w:rPr>
              <w:t xml:space="preserve"> 12 </w:t>
            </w:r>
            <w:r>
              <w:rPr>
                <w:rFonts w:ascii="宋体" w:hAnsi="宋体" w:hint="eastAsia"/>
                <w:szCs w:val="24"/>
              </w:rPr>
              <w:t>项担保（在</w:t>
            </w:r>
            <w:r>
              <w:rPr>
                <w:rFonts w:ascii="宋体" w:hAnsi="宋体"/>
                <w:szCs w:val="24"/>
              </w:rPr>
              <w:t>1705</w:t>
            </w:r>
            <w:r>
              <w:rPr>
                <w:rFonts w:ascii="宋体" w:hAnsi="宋体" w:hint="eastAsia"/>
                <w:szCs w:val="24"/>
              </w:rPr>
              <w:t>框架内</w:t>
            </w:r>
            <w:r>
              <w:rPr>
                <w:rFonts w:ascii="宋体" w:hAnsi="宋体"/>
                <w:szCs w:val="24"/>
              </w:rPr>
              <w:t xml:space="preserve"> </w:t>
            </w:r>
            <w:r>
              <w:rPr>
                <w:rFonts w:ascii="宋体" w:hAnsi="宋体" w:hint="eastAsia"/>
                <w:szCs w:val="24"/>
              </w:rPr>
              <w:t>，总价值</w:t>
            </w:r>
            <w:r>
              <w:rPr>
                <w:rFonts w:ascii="宋体" w:hAnsi="宋体"/>
                <w:szCs w:val="24"/>
              </w:rPr>
              <w:t xml:space="preserve">89.59 </w:t>
            </w:r>
            <w:r>
              <w:rPr>
                <w:rFonts w:ascii="宋体" w:hAnsi="宋体" w:hint="eastAsia"/>
                <w:szCs w:val="24"/>
              </w:rPr>
              <w:t>万美元</w:t>
            </w:r>
            <w:r>
              <w:rPr>
                <w:rFonts w:ascii="宋体" w:hAnsi="宋体"/>
                <w:szCs w:val="24"/>
              </w:rPr>
              <w:t xml:space="preserve"> </w:t>
            </w:r>
            <w:r>
              <w:rPr>
                <w:rFonts w:ascii="宋体" w:hAnsi="宋体" w:hint="eastAsia"/>
                <w:szCs w:val="24"/>
              </w:rPr>
              <w:t>，其中</w:t>
            </w:r>
            <w:r>
              <w:rPr>
                <w:rFonts w:ascii="宋体" w:hAnsi="宋体"/>
                <w:szCs w:val="24"/>
              </w:rPr>
              <w:t>4</w:t>
            </w:r>
            <w:r>
              <w:rPr>
                <w:rFonts w:ascii="宋体" w:hAnsi="宋体" w:hint="eastAsia"/>
                <w:szCs w:val="24"/>
              </w:rPr>
              <w:t>项已经关闭，总价值</w:t>
            </w:r>
            <w:r>
              <w:rPr>
                <w:rFonts w:ascii="宋体" w:hAnsi="宋体"/>
                <w:szCs w:val="24"/>
              </w:rPr>
              <w:t xml:space="preserve">7.74 </w:t>
            </w:r>
            <w:r>
              <w:rPr>
                <w:rFonts w:ascii="宋体" w:hAnsi="宋体" w:hint="eastAsia"/>
                <w:szCs w:val="24"/>
              </w:rPr>
              <w:t>亿美元</w:t>
            </w:r>
            <w:r>
              <w:rPr>
                <w:rFonts w:ascii="宋体" w:hAnsi="宋体"/>
                <w:szCs w:val="24"/>
              </w:rPr>
              <w:t>)</w:t>
            </w:r>
            <w:r>
              <w:rPr>
                <w:rFonts w:ascii="宋体" w:hAnsi="宋体" w:hint="eastAsia"/>
                <w:szCs w:val="24"/>
              </w:rPr>
              <w:t>。</w:t>
            </w:r>
          </w:p>
        </w:tc>
      </w:tr>
      <w:tr w:rsidR="00FF6CCE" w:rsidTr="00FF6CCE">
        <w:trPr>
          <w:trHeight w:val="1108"/>
        </w:trPr>
        <w:tc>
          <w:tcPr>
            <w:tcW w:w="1302" w:type="dxa"/>
            <w:vAlign w:val="center"/>
          </w:tcPr>
          <w:p w:rsidR="00FF6CCE" w:rsidRDefault="00FF6CCE" w:rsidP="00FF6CCE">
            <w:pPr>
              <w:jc w:val="center"/>
              <w:rPr>
                <w:rFonts w:ascii="宋体" w:hAnsi="宋体" w:cs="宋体"/>
                <w:szCs w:val="24"/>
              </w:rPr>
            </w:pPr>
            <w:r>
              <w:rPr>
                <w:rFonts w:ascii="宋体" w:hAnsi="宋体" w:cs="宋体" w:hint="eastAsia"/>
                <w:szCs w:val="24"/>
              </w:rPr>
              <w:t>企业平均燃料经济性</w:t>
            </w:r>
          </w:p>
        </w:tc>
        <w:tc>
          <w:tcPr>
            <w:tcW w:w="4186" w:type="dxa"/>
          </w:tcPr>
          <w:p w:rsidR="00FF6CCE" w:rsidRDefault="00FF6CCE" w:rsidP="00FF6CCE">
            <w:pPr>
              <w:rPr>
                <w:rFonts w:ascii="宋体" w:hAnsi="宋体" w:cs="宋体"/>
                <w:szCs w:val="24"/>
              </w:rPr>
            </w:pPr>
            <w:r>
              <w:rPr>
                <w:rFonts w:ascii="宋体" w:hAnsi="宋体" w:cs="宋体" w:hint="eastAsia"/>
                <w:szCs w:val="24"/>
              </w:rPr>
              <w:t>通过指定平均燃油效率标准为节油汽车拓展市场。通过经济处罚来惩罚没有达到标准的制造商。</w:t>
            </w:r>
          </w:p>
        </w:tc>
        <w:tc>
          <w:tcPr>
            <w:tcW w:w="4129" w:type="dxa"/>
          </w:tcPr>
          <w:p w:rsidR="00FF6CCE" w:rsidRDefault="00FF6CCE" w:rsidP="00FF6CCE">
            <w:pPr>
              <w:rPr>
                <w:rFonts w:ascii="宋体" w:hAnsi="宋体" w:cs="宋体"/>
                <w:szCs w:val="24"/>
              </w:rPr>
            </w:pPr>
            <w:r>
              <w:rPr>
                <w:rFonts w:ascii="宋体" w:hAnsi="宋体" w:cs="宋体" w:hint="eastAsia"/>
                <w:szCs w:val="24"/>
              </w:rPr>
              <w:t>现在适用于轻型汽车（轿车和轻型卡车），奥巴马政府最近建议从</w:t>
            </w:r>
            <w:r>
              <w:rPr>
                <w:rFonts w:ascii="宋体" w:hAnsi="宋体"/>
                <w:szCs w:val="24"/>
              </w:rPr>
              <w:t>2014</w:t>
            </w:r>
            <w:r>
              <w:rPr>
                <w:rFonts w:ascii="宋体" w:hAnsi="宋体" w:cs="宋体" w:hint="eastAsia"/>
                <w:szCs w:val="24"/>
              </w:rPr>
              <w:t>年开始，延伸</w:t>
            </w:r>
            <w:r>
              <w:rPr>
                <w:rFonts w:ascii="宋体" w:hAnsi="宋体"/>
                <w:szCs w:val="24"/>
              </w:rPr>
              <w:t>CAFÉ</w:t>
            </w:r>
            <w:r>
              <w:rPr>
                <w:rFonts w:ascii="宋体" w:hAnsi="宋体" w:cs="宋体" w:hint="eastAsia"/>
                <w:szCs w:val="24"/>
              </w:rPr>
              <w:t>标准到重型卡车。</w:t>
            </w:r>
          </w:p>
        </w:tc>
      </w:tr>
      <w:tr w:rsidR="00FF6CCE" w:rsidTr="00FF6CCE">
        <w:trPr>
          <w:trHeight w:val="1005"/>
        </w:trPr>
        <w:tc>
          <w:tcPr>
            <w:tcW w:w="1302" w:type="dxa"/>
            <w:vAlign w:val="center"/>
          </w:tcPr>
          <w:p w:rsidR="00FF6CCE" w:rsidRDefault="00FF6CCE" w:rsidP="00FF6CCE">
            <w:pPr>
              <w:jc w:val="center"/>
              <w:rPr>
                <w:rFonts w:ascii="宋体" w:hAnsi="宋体" w:cs="宋体" w:hint="eastAsia"/>
                <w:szCs w:val="24"/>
              </w:rPr>
            </w:pPr>
            <w:r>
              <w:rPr>
                <w:rFonts w:ascii="宋体" w:hAnsi="宋体" w:cs="宋体" w:hint="eastAsia"/>
                <w:szCs w:val="24"/>
              </w:rPr>
              <w:t>可再生</w:t>
            </w:r>
          </w:p>
          <w:p w:rsidR="00FF6CCE" w:rsidRDefault="00FF6CCE" w:rsidP="00FF6CCE">
            <w:pPr>
              <w:jc w:val="center"/>
              <w:rPr>
                <w:rFonts w:ascii="宋体" w:hAnsi="宋体" w:cs="宋体"/>
                <w:szCs w:val="24"/>
              </w:rPr>
            </w:pPr>
            <w:r>
              <w:rPr>
                <w:rFonts w:ascii="宋体" w:hAnsi="宋体" w:cs="宋体" w:hint="eastAsia"/>
                <w:szCs w:val="24"/>
              </w:rPr>
              <w:t>燃料标准</w:t>
            </w:r>
          </w:p>
        </w:tc>
        <w:tc>
          <w:tcPr>
            <w:tcW w:w="4186" w:type="dxa"/>
          </w:tcPr>
          <w:p w:rsidR="00FF6CCE" w:rsidRDefault="00FF6CCE" w:rsidP="00FF6CCE">
            <w:pPr>
              <w:rPr>
                <w:rFonts w:ascii="宋体" w:hAnsi="宋体" w:cs="宋体" w:hint="eastAsia"/>
                <w:szCs w:val="24"/>
              </w:rPr>
            </w:pPr>
            <w:r>
              <w:rPr>
                <w:rFonts w:ascii="宋体" w:hAnsi="宋体" w:cs="宋体" w:hint="eastAsia"/>
                <w:szCs w:val="24"/>
              </w:rPr>
              <w:t>为生物燃料测量体积以和传统能源相混合</w:t>
            </w:r>
            <w:r>
              <w:rPr>
                <w:rFonts w:ascii="宋体" w:hAnsi="宋体"/>
                <w:szCs w:val="24"/>
              </w:rPr>
              <w:t xml:space="preserve"> (</w:t>
            </w:r>
            <w:r>
              <w:rPr>
                <w:rFonts w:ascii="宋体" w:hAnsi="宋体" w:cs="宋体" w:hint="eastAsia"/>
                <w:szCs w:val="24"/>
              </w:rPr>
              <w:t>汽油和柴油</w:t>
            </w:r>
            <w:r>
              <w:rPr>
                <w:rFonts w:ascii="宋体" w:hAnsi="宋体"/>
                <w:szCs w:val="24"/>
              </w:rPr>
              <w:t>)</w:t>
            </w:r>
            <w:r>
              <w:rPr>
                <w:rFonts w:ascii="宋体" w:hAnsi="宋体" w:hint="eastAsia"/>
                <w:szCs w:val="24"/>
              </w:rPr>
              <w:t>。</w:t>
            </w:r>
          </w:p>
        </w:tc>
        <w:tc>
          <w:tcPr>
            <w:tcW w:w="4129" w:type="dxa"/>
          </w:tcPr>
          <w:p w:rsidR="00FF6CCE" w:rsidRDefault="00FF6CCE" w:rsidP="00FF6CCE">
            <w:pPr>
              <w:rPr>
                <w:rFonts w:ascii="宋体" w:hAnsi="宋体" w:cs="宋体" w:hint="eastAsia"/>
                <w:szCs w:val="24"/>
              </w:rPr>
            </w:pPr>
            <w:r>
              <w:rPr>
                <w:rFonts w:ascii="宋体" w:hAnsi="宋体" w:cs="宋体" w:hint="eastAsia"/>
                <w:szCs w:val="24"/>
              </w:rPr>
              <w:t>第一次介绍了</w:t>
            </w:r>
            <w:r>
              <w:rPr>
                <w:rFonts w:ascii="宋体" w:hAnsi="宋体"/>
                <w:szCs w:val="24"/>
              </w:rPr>
              <w:t>2005</w:t>
            </w:r>
            <w:r>
              <w:rPr>
                <w:rFonts w:ascii="宋体" w:hAnsi="宋体" w:cs="宋体" w:hint="eastAsia"/>
                <w:szCs w:val="24"/>
              </w:rPr>
              <w:t>年能源政策法案和在广度和深度上拓展了能源独立安全法案</w:t>
            </w:r>
            <w:r>
              <w:rPr>
                <w:rFonts w:ascii="宋体" w:hAnsi="宋体"/>
                <w:szCs w:val="24"/>
              </w:rPr>
              <w:t>2007 (RFS2)</w:t>
            </w:r>
            <w:r>
              <w:rPr>
                <w:rFonts w:ascii="宋体" w:hAnsi="宋体" w:hint="eastAsia"/>
                <w:szCs w:val="24"/>
              </w:rPr>
              <w:t>。</w:t>
            </w:r>
          </w:p>
        </w:tc>
      </w:tr>
    </w:tbl>
    <w:p w:rsidR="00FF6CCE" w:rsidRDefault="00FF6CCE" w:rsidP="00FF6CCE">
      <w:pPr>
        <w:jc w:val="center"/>
        <w:rPr>
          <w:rFonts w:hint="eastAsia"/>
          <w:b/>
          <w:bCs/>
          <w:color w:val="365F91"/>
          <w:sz w:val="20"/>
        </w:rPr>
      </w:pPr>
    </w:p>
    <w:p w:rsidR="00FF6CCE" w:rsidRDefault="00FF6CCE" w:rsidP="00FF6CCE">
      <w:pPr>
        <w:pStyle w:val="Heading1"/>
        <w:tabs>
          <w:tab w:val="clear" w:pos="432"/>
        </w:tabs>
      </w:pPr>
      <w:bookmarkStart w:id="256" w:name="_Toc17663"/>
      <w:bookmarkStart w:id="257" w:name="_Toc7809"/>
      <w:bookmarkStart w:id="258" w:name="_Toc392057053"/>
      <w:bookmarkStart w:id="259" w:name="_Toc392513027"/>
      <w:r>
        <w:rPr>
          <w:rFonts w:hint="eastAsia"/>
        </w:rPr>
        <w:t>美国清洁能源创新体系内的机构</w:t>
      </w:r>
      <w:bookmarkEnd w:id="256"/>
      <w:bookmarkEnd w:id="257"/>
      <w:bookmarkEnd w:id="258"/>
      <w:bookmarkEnd w:id="259"/>
    </w:p>
    <w:p w:rsidR="00FF6CCE" w:rsidRDefault="00FF6CCE" w:rsidP="00FF6CCE">
      <w:pPr>
        <w:ind w:firstLine="480"/>
        <w:rPr>
          <w:rFonts w:hint="eastAsia"/>
        </w:rPr>
      </w:pPr>
      <w:r>
        <w:rPr>
          <w:rFonts w:hint="eastAsia"/>
        </w:rPr>
        <w:t>现存的美国清洁能源扶持体系包含一系列</w:t>
      </w:r>
      <w:r>
        <w:t>1970</w:t>
      </w:r>
      <w:r>
        <w:rPr>
          <w:rFonts w:hint="eastAsia"/>
        </w:rPr>
        <w:t>年应对石油危机时产生的机构，以及过去十年间产生的一系列新的机构，该等机构均由美国能源部</w:t>
      </w:r>
      <w:r>
        <w:t xml:space="preserve"> (DOE)</w:t>
      </w:r>
      <w:r>
        <w:rPr>
          <w:rFonts w:hint="eastAsia"/>
        </w:rPr>
        <w:t>及其国家实验室领导。尽管这些构成美国清洁能源创新体系的机构发展于清洁能源的优先性非常不同的时期但是多数机构已经能够适应现代的研究、发展及示范的优先性。</w:t>
      </w:r>
    </w:p>
    <w:p w:rsidR="00FF6CCE" w:rsidRDefault="00FF6CCE" w:rsidP="00FF6CCE">
      <w:pPr>
        <w:ind w:firstLine="480"/>
        <w:rPr>
          <w:rFonts w:hint="eastAsia"/>
        </w:rPr>
      </w:pPr>
    </w:p>
    <w:p w:rsidR="00FF6CCE" w:rsidRDefault="00FF6CCE" w:rsidP="00FF6CCE">
      <w:pPr>
        <w:autoSpaceDE w:val="0"/>
        <w:autoSpaceDN w:val="0"/>
        <w:adjustRightInd w:val="0"/>
        <w:spacing w:after="240"/>
        <w:jc w:val="center"/>
      </w:pPr>
      <w:r>
        <w:rPr>
          <w:noProof/>
          <w:lang w:eastAsia="en-US"/>
        </w:rPr>
        <w:drawing>
          <wp:inline distT="0" distB="0" distL="0" distR="0">
            <wp:extent cx="4431030" cy="2222500"/>
            <wp:effectExtent l="0" t="0" r="0" b="12700"/>
            <wp:docPr id="45" name="Picture 23"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31030" cy="2222500"/>
                    </a:xfrm>
                    <a:prstGeom prst="rect">
                      <a:avLst/>
                    </a:prstGeom>
                    <a:noFill/>
                    <a:ln>
                      <a:noFill/>
                    </a:ln>
                  </pic:spPr>
                </pic:pic>
              </a:graphicData>
            </a:graphic>
          </wp:inline>
        </w:drawing>
      </w:r>
    </w:p>
    <w:p w:rsidR="00FF6CCE" w:rsidRDefault="00FF6CCE" w:rsidP="00FF6CCE">
      <w:pPr>
        <w:pStyle w:val="a3"/>
        <w:numPr>
          <w:ilvl w:val="0"/>
          <w:numId w:val="11"/>
        </w:numPr>
        <w:tabs>
          <w:tab w:val="clear" w:pos="480"/>
          <w:tab w:val="left" w:pos="0"/>
        </w:tabs>
        <w:ind w:left="900" w:hanging="480"/>
      </w:pPr>
      <w:bookmarkStart w:id="260" w:name="_Toc392513090"/>
      <w:r>
        <w:rPr>
          <w:rFonts w:cs="宋体" w:hint="eastAsia"/>
        </w:rPr>
        <w:t>按联邦机构分类的美国能源创新资金的分配情况</w:t>
      </w:r>
      <w:bookmarkEnd w:id="260"/>
    </w:p>
    <w:p w:rsidR="00FF6CCE" w:rsidRDefault="00FF6CCE" w:rsidP="00FF6CCE">
      <w:pPr>
        <w:pStyle w:val="a2"/>
        <w:ind w:left="840"/>
        <w:rPr>
          <w:rFonts w:hint="eastAsia"/>
        </w:rPr>
      </w:pPr>
      <w:r>
        <w:rPr>
          <w:rFonts w:hint="eastAsia"/>
        </w:rPr>
        <w:t>（来源</w:t>
      </w:r>
      <w:r>
        <w:t xml:space="preserve">: </w:t>
      </w:r>
      <w:r>
        <w:fldChar w:fldCharType="begin"/>
      </w:r>
      <w:r>
        <w:instrText xml:space="preserve"> ADDIN ZOTERO_ITEM CSL_CITATION {"citationID":"andpxKNw","properties":{"formattedCitation":"{\\rtf (\\uc0\\u8211{} Energy Innovation Tracker 2013)}","plainCitation":"(– Energy Innovation Tracker 2013)","dontUpdate":true},"citationItems":[{"id":4839,"uris":["http://zotero.org/users/454657/items/E2XZ4TPN"],"uri":["http://zotero.org/users/454657/items/E2XZ4TPN"],"itemData":{"id":4839,"type":"webpage","title":"United States Energy Innovation Investments: Trends Analysis","container-title":"Energy Innovation Tracker","URL":"http://energyinnovation.us/data/analysis/trends-analysis/","author":[{"family":"Energy Innovation Tracker","given":""}],"issued":{"date-parts":[["2013"]]},"accessed":{"date-parts":[["2013",7,15]]}}}],"schema":"https://github.com/citation-style-language/schema/raw/master/csl-citation.json"} </w:instrText>
      </w:r>
      <w:r>
        <w:fldChar w:fldCharType="separate"/>
      </w:r>
      <w:r>
        <w:rPr>
          <w:rFonts w:hint="eastAsia"/>
        </w:rPr>
        <w:t>能源创新追踪</w:t>
      </w:r>
      <w:r>
        <w:t>2013</w:t>
      </w:r>
      <w:r>
        <w:fldChar w:fldCharType="end"/>
      </w:r>
      <w:r>
        <w:rPr>
          <w:rFonts w:hint="eastAsia"/>
        </w:rPr>
        <w:t>）</w:t>
      </w:r>
    </w:p>
    <w:p w:rsidR="00FF6CCE" w:rsidRDefault="00FF6CCE" w:rsidP="00FF6CCE">
      <w:pPr>
        <w:ind w:firstLine="480"/>
      </w:pPr>
      <w:r>
        <w:rPr>
          <w:rFonts w:hint="eastAsia"/>
        </w:rPr>
        <w:t>根据上可见，美国能源部得到了绝大多数的能源创新资金（</w:t>
      </w:r>
      <w:r>
        <w:t>2010</w:t>
      </w:r>
      <w:r>
        <w:rPr>
          <w:rFonts w:hint="eastAsia"/>
        </w:rPr>
        <w:t>年的金额超过了</w:t>
      </w:r>
      <w:r>
        <w:t>90%</w:t>
      </w:r>
      <w:r>
        <w:rPr>
          <w:rFonts w:hint="eastAsia"/>
        </w:rPr>
        <w:t>）。因此，本章重点讨论美国能源部的能源创新计划。</w:t>
      </w:r>
    </w:p>
    <w:p w:rsidR="00FF6CCE" w:rsidRDefault="00FF6CCE" w:rsidP="00FF6CCE">
      <w:pPr>
        <w:pStyle w:val="Heading2"/>
      </w:pPr>
      <w:bookmarkStart w:id="261" w:name="_Toc16047"/>
      <w:bookmarkStart w:id="262" w:name="_Toc15800"/>
      <w:bookmarkStart w:id="263" w:name="_Toc392057054"/>
      <w:bookmarkStart w:id="264" w:name="_Toc392513028"/>
      <w:r>
        <w:rPr>
          <w:rFonts w:hint="eastAsia"/>
        </w:rPr>
        <w:t>美国能源部</w:t>
      </w:r>
      <w:bookmarkEnd w:id="261"/>
      <w:bookmarkEnd w:id="262"/>
      <w:bookmarkEnd w:id="263"/>
      <w:bookmarkEnd w:id="264"/>
    </w:p>
    <w:p w:rsidR="00FF6CCE" w:rsidRDefault="00FF6CCE" w:rsidP="00FF6CCE">
      <w:pPr>
        <w:ind w:firstLine="480"/>
      </w:pPr>
      <w:r>
        <w:rPr>
          <w:rFonts w:hint="eastAsia"/>
        </w:rPr>
        <w:t>由能源部长领导的美国能源部的使命是“通过利用转型科学与技术解决方案来解决能源、环保及核能挑战，以确保美国的安全与繁荣”。</w:t>
      </w:r>
      <w:bookmarkStart w:id="265" w:name="_Ref231791518"/>
    </w:p>
    <w:p w:rsidR="00FF6CCE" w:rsidRDefault="00FF6CCE" w:rsidP="00FF6CCE">
      <w:pPr>
        <w:ind w:firstLine="480"/>
        <w:rPr>
          <w:rFonts w:hint="eastAsia"/>
        </w:rPr>
      </w:pPr>
      <w:r>
        <w:rPr>
          <w:rFonts w:hint="eastAsia"/>
        </w:rPr>
        <w:t>2012</w:t>
      </w:r>
      <w:r>
        <w:rPr>
          <w:rFonts w:hint="eastAsia"/>
        </w:rPr>
        <w:t>年美国能源部用于能源活动的预算仅为总预算的</w:t>
      </w:r>
      <w:r>
        <w:rPr>
          <w:rFonts w:hint="eastAsia"/>
        </w:rPr>
        <w:t>12%</w:t>
      </w:r>
      <w:r>
        <w:rPr>
          <w:rFonts w:hint="eastAsia"/>
        </w:rPr>
        <w:t>，而绝大多数预算则用于了</w:t>
      </w:r>
      <w:r>
        <w:rPr>
          <w:rFonts w:hint="eastAsia"/>
        </w:rPr>
        <w:t xml:space="preserve"> </w:t>
      </w:r>
      <w:r>
        <w:rPr>
          <w:rFonts w:hint="eastAsia"/>
        </w:rPr>
        <w:t>“国家核安全管理计划”。</w:t>
      </w:r>
      <w:r>
        <w:t xml:space="preserve"> </w:t>
      </w:r>
      <w:r>
        <w:rPr>
          <w:rFonts w:hint="eastAsia"/>
        </w:rPr>
        <w:t>与</w:t>
      </w:r>
      <w:r>
        <w:t xml:space="preserve">ARRA </w:t>
      </w:r>
      <w:r>
        <w:rPr>
          <w:rFonts w:hint="eastAsia"/>
        </w:rPr>
        <w:t>（</w:t>
      </w:r>
      <w:r>
        <w:t>2009</w:t>
      </w:r>
      <w:r>
        <w:t>年</w:t>
      </w:r>
      <w:r>
        <w:t xml:space="preserve"> 2</w:t>
      </w:r>
      <w:r>
        <w:t>月</w:t>
      </w:r>
      <w:r>
        <w:t xml:space="preserve"> 17</w:t>
      </w:r>
      <w:r>
        <w:t>日美国总统奥巴马签署了</w:t>
      </w:r>
      <w:r>
        <w:rPr>
          <w:rFonts w:hint="eastAsia"/>
        </w:rPr>
        <w:t>“</w:t>
      </w:r>
      <w:r>
        <w:t>2009</w:t>
      </w:r>
      <w:r>
        <w:t>年</w:t>
      </w:r>
      <w:r>
        <w:rPr>
          <w:rFonts w:hint="eastAsia"/>
        </w:rPr>
        <w:t>美国复</w:t>
      </w:r>
      <w:r>
        <w:t>苏与再投资法案</w:t>
      </w:r>
      <w:r>
        <w:rPr>
          <w:rFonts w:hint="eastAsia"/>
        </w:rPr>
        <w:t>”</w:t>
      </w:r>
      <w:r>
        <w:rPr>
          <w:rFonts w:hint="eastAsia"/>
        </w:rPr>
        <w:t xml:space="preserve"> </w:t>
      </w:r>
      <w:r>
        <w:t>American Recovery and Reinvestment Act of 2009</w:t>
      </w:r>
      <w:r>
        <w:t>，简称</w:t>
      </w:r>
      <w:bookmarkStart w:id="266" w:name="baidusnap0"/>
      <w:bookmarkEnd w:id="266"/>
      <w:r>
        <w:rPr>
          <w:rFonts w:hint="eastAsia"/>
        </w:rPr>
        <w:t>“</w:t>
      </w:r>
      <w:r>
        <w:t>ARRA</w:t>
      </w:r>
      <w:r>
        <w:rPr>
          <w:rFonts w:hint="eastAsia"/>
        </w:rPr>
        <w:t>”）刺激计划相比，能源部在获得能源资金方面遇到了显著的阻碍。</w:t>
      </w:r>
    </w:p>
    <w:bookmarkEnd w:id="265"/>
    <w:p w:rsidR="00FF6CCE" w:rsidRDefault="00FF6CCE" w:rsidP="00FF6CCE">
      <w:pPr>
        <w:ind w:firstLine="480"/>
        <w:rPr>
          <w:rFonts w:hint="eastAsia"/>
        </w:rPr>
      </w:pPr>
      <w:r>
        <w:rPr>
          <w:rFonts w:hint="eastAsia"/>
        </w:rPr>
        <w:t>除了美国能源部以外，一些美国政府机构也为能源的研究、发展和示范提供了少量的支持，包括美国农业部、国防部、和国家宇航局，而且许多其它机构在制订对推广清洁能源技术方面产生影响的政策时发挥了作用，包括国会和白宫。这对跨机构的能源活动的协调增加了难度。</w:t>
      </w:r>
    </w:p>
    <w:p w:rsidR="00FF6CCE" w:rsidRDefault="00FF6CCE" w:rsidP="00FF6CCE">
      <w:pPr>
        <w:ind w:firstLine="480"/>
        <w:rPr>
          <w:rFonts w:hint="eastAsia"/>
        </w:rPr>
      </w:pPr>
      <w:r>
        <w:rPr>
          <w:rFonts w:hint="eastAsia"/>
        </w:rPr>
        <w:t>跨若干机构的政策制定路线图都将已经完成的能源生产量，和已经为美国能源政策推荐的战略方向，以及机构改革方法为目标。例如，总统科学和技术咨询委员会</w:t>
      </w:r>
      <w:r>
        <w:rPr>
          <w:rFonts w:hint="eastAsia"/>
        </w:rPr>
        <w:t xml:space="preserve"> (PCAST)</w:t>
      </w:r>
      <w:r>
        <w:rPr>
          <w:rFonts w:hint="eastAsia"/>
        </w:rPr>
        <w:t>于</w:t>
      </w:r>
      <w:r>
        <w:rPr>
          <w:rFonts w:hint="eastAsia"/>
        </w:rPr>
        <w:t>2010</w:t>
      </w:r>
      <w:r>
        <w:rPr>
          <w:rFonts w:hint="eastAsia"/>
        </w:rPr>
        <w:t>年发表了“向总统提交的关于通过一项综合联邦能源政策加快能源技术领域的变革速度的报告”中，呼吁联邦政府“编制出一份跨所有政府机构的联邦能源政策，并且与美国国防部定期更新其有关政策一样，通过每四年定期更新能源政策</w:t>
      </w:r>
      <w:r>
        <w:rPr>
          <w:rFonts w:hint="eastAsia"/>
        </w:rPr>
        <w:t>)</w:t>
      </w:r>
      <w:r>
        <w:rPr>
          <w:rFonts w:hint="eastAsia"/>
        </w:rPr>
        <w:t>。</w:t>
      </w:r>
      <w:r>
        <w:rPr>
          <w:rFonts w:hint="eastAsia"/>
        </w:rPr>
        <w:t xml:space="preserve"> </w:t>
      </w:r>
      <w:r>
        <w:rPr>
          <w:rFonts w:hint="eastAsia"/>
        </w:rPr>
        <w:t>第一份四年一次的技术复审报告由美国能源部于</w:t>
      </w:r>
      <w:r>
        <w:rPr>
          <w:rFonts w:hint="eastAsia"/>
        </w:rPr>
        <w:t>2011</w:t>
      </w:r>
      <w:r>
        <w:rPr>
          <w:rFonts w:hint="eastAsia"/>
        </w:rPr>
        <w:t>年</w:t>
      </w:r>
      <w:r>
        <w:rPr>
          <w:rFonts w:hint="eastAsia"/>
        </w:rPr>
        <w:t>9</w:t>
      </w:r>
      <w:r>
        <w:rPr>
          <w:rFonts w:hint="eastAsia"/>
        </w:rPr>
        <w:t>月发布。该报告包括涵盖了美国能源部所有技术计划领域，着力于为美国能源部制订一份多年的战略计划，同时也为该等领域里的各个机构之间的协调工作提供了具体的计划。此外，国家科学院提交的一份名为“超越正在聚集的风暴：为了更加美好的经济的未来而为美国充电，提供就业机会”的报告，为提升美国在科学和技术领域的竞争力提供了建议，并建议针对能源领域设置一个先进研究项目机构，该建议最终产生了今天的</w:t>
      </w:r>
      <w:r>
        <w:rPr>
          <w:rFonts w:hint="eastAsia"/>
        </w:rPr>
        <w:t xml:space="preserve"> AEPA-E (</w:t>
      </w:r>
      <w:r>
        <w:rPr>
          <w:rFonts w:hint="eastAsia"/>
        </w:rPr>
        <w:t>工作宗旨旨在使美国二十一世纪的全球经济中胜出的委员会：一份为美国科学和技术委员会、美国科学院、美国工程科学院、</w:t>
      </w:r>
      <w:r>
        <w:rPr>
          <w:rFonts w:hint="eastAsia"/>
        </w:rPr>
        <w:t>2007</w:t>
      </w:r>
      <w:r>
        <w:rPr>
          <w:rFonts w:hint="eastAsia"/>
        </w:rPr>
        <w:t>年度药品机构制订的计划</w:t>
      </w:r>
      <w:r>
        <w:rPr>
          <w:rFonts w:hint="eastAsia"/>
        </w:rPr>
        <w:t>)</w:t>
      </w:r>
      <w:r>
        <w:rPr>
          <w:rFonts w:hint="eastAsia"/>
        </w:rPr>
        <w:t>。</w:t>
      </w:r>
    </w:p>
    <w:p w:rsidR="00FF6CCE" w:rsidRDefault="00FF6CCE" w:rsidP="00FF6CCE">
      <w:pPr>
        <w:ind w:firstLine="480"/>
        <w:rPr>
          <w:rFonts w:hint="eastAsia"/>
        </w:rPr>
      </w:pPr>
      <w:r>
        <w:rPr>
          <w:noProof/>
          <w:lang w:eastAsia="en-US"/>
        </w:rPr>
        <w:drawing>
          <wp:inline distT="0" distB="0" distL="0" distR="0">
            <wp:extent cx="5570855" cy="4178300"/>
            <wp:effectExtent l="0" t="0" r="0" b="12700"/>
            <wp:docPr id="46" name="Picture 24"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70855" cy="4178300"/>
                    </a:xfrm>
                    <a:prstGeom prst="rect">
                      <a:avLst/>
                    </a:prstGeom>
                    <a:noFill/>
                    <a:ln>
                      <a:noFill/>
                    </a:ln>
                  </pic:spPr>
                </pic:pic>
              </a:graphicData>
            </a:graphic>
          </wp:inline>
        </w:drawing>
      </w:r>
    </w:p>
    <w:p w:rsidR="00FF6CCE" w:rsidRPr="00766E8A" w:rsidRDefault="00FF6CCE" w:rsidP="00FF6CCE">
      <w:pPr>
        <w:pStyle w:val="a3"/>
        <w:numPr>
          <w:ilvl w:val="0"/>
          <w:numId w:val="11"/>
        </w:numPr>
        <w:tabs>
          <w:tab w:val="clear" w:pos="425"/>
          <w:tab w:val="clear" w:pos="480"/>
          <w:tab w:val="left" w:pos="0"/>
        </w:tabs>
        <w:ind w:left="900" w:hanging="480"/>
        <w:rPr>
          <w:rFonts w:cs="宋体"/>
        </w:rPr>
      </w:pPr>
      <w:bookmarkStart w:id="267" w:name="_Toc392513091"/>
      <w:r w:rsidRPr="00766E8A">
        <w:rPr>
          <w:rFonts w:cs="宋体" w:hint="eastAsia"/>
        </w:rPr>
        <w:t>美国能源部资助历史</w:t>
      </w:r>
      <w:bookmarkEnd w:id="267"/>
    </w:p>
    <w:p w:rsidR="00FF6CCE" w:rsidRDefault="00FF6CCE" w:rsidP="00FF6CCE">
      <w:pPr>
        <w:pStyle w:val="a2"/>
        <w:ind w:left="840"/>
        <w:rPr>
          <w:rFonts w:hint="eastAsia"/>
        </w:rPr>
      </w:pPr>
      <w:r>
        <w:rPr>
          <w:rFonts w:hint="eastAsia"/>
        </w:rPr>
        <w:t>（资料来源：美国能源部</w:t>
      </w:r>
      <w:r>
        <w:rPr>
          <w:rFonts w:hint="eastAsia"/>
        </w:rPr>
        <w:t>2013</w:t>
      </w:r>
      <w:r>
        <w:rPr>
          <w:rFonts w:hint="eastAsia"/>
        </w:rPr>
        <w:t>年。）</w:t>
      </w:r>
    </w:p>
    <w:p w:rsidR="00FF6CCE" w:rsidRDefault="00FF6CCE" w:rsidP="00FF6CCE">
      <w:pPr>
        <w:ind w:firstLine="480"/>
        <w:rPr>
          <w:rFonts w:hint="eastAsia"/>
        </w:rPr>
      </w:pPr>
    </w:p>
    <w:p w:rsidR="00FF6CCE" w:rsidRDefault="00FF6CCE" w:rsidP="00FF6CCE">
      <w:pPr>
        <w:ind w:firstLine="480"/>
        <w:rPr>
          <w:rFonts w:hint="eastAsia"/>
        </w:rPr>
      </w:pPr>
      <w:r>
        <w:rPr>
          <w:rFonts w:hint="eastAsia"/>
        </w:rPr>
        <w:t>美国能源部的能源效率和可再生能源计划部门（</w:t>
      </w:r>
      <w:r>
        <w:rPr>
          <w:rFonts w:hint="eastAsia"/>
        </w:rPr>
        <w:t>EERE)</w:t>
      </w:r>
      <w:r>
        <w:rPr>
          <w:rFonts w:hint="eastAsia"/>
        </w:rPr>
        <w:t>是美国关注清洁能源技术的研究、开发和示范工作中的首要部门。</w:t>
      </w:r>
      <w:r>
        <w:rPr>
          <w:rFonts w:hint="eastAsia"/>
        </w:rPr>
        <w:t xml:space="preserve"> 2012</w:t>
      </w:r>
      <w:r>
        <w:rPr>
          <w:rFonts w:hint="eastAsia"/>
        </w:rPr>
        <w:t>年度的</w:t>
      </w:r>
      <w:r>
        <w:rPr>
          <w:rFonts w:hint="eastAsia"/>
        </w:rPr>
        <w:t>EERE</w:t>
      </w:r>
      <w:r>
        <w:rPr>
          <w:rFonts w:hint="eastAsia"/>
        </w:rPr>
        <w:t>预算，以及</w:t>
      </w:r>
      <w:r>
        <w:rPr>
          <w:rFonts w:hint="eastAsia"/>
        </w:rPr>
        <w:t>2013</w:t>
      </w:r>
      <w:r>
        <w:rPr>
          <w:rFonts w:hint="eastAsia"/>
        </w:rPr>
        <w:t>财政年度的持续估算的总决算和为</w:t>
      </w:r>
      <w:r>
        <w:rPr>
          <w:rFonts w:hint="eastAsia"/>
        </w:rPr>
        <w:t>2014</w:t>
      </w:r>
      <w:r>
        <w:rPr>
          <w:rFonts w:hint="eastAsia"/>
        </w:rPr>
        <w:t>财政年度提出的预算。</w:t>
      </w:r>
    </w:p>
    <w:p w:rsidR="00FF6CCE" w:rsidRDefault="00FF6CCE" w:rsidP="00FF6CCE">
      <w:pPr>
        <w:ind w:firstLine="480"/>
        <w:rPr>
          <w:rFonts w:hint="eastAsia"/>
        </w:rPr>
      </w:pPr>
    </w:p>
    <w:p w:rsidR="00FF6CCE" w:rsidRDefault="00FF6CCE" w:rsidP="00FF6CCE">
      <w:pPr>
        <w:ind w:firstLine="480"/>
        <w:rPr>
          <w:rFonts w:hint="eastAsia"/>
        </w:rPr>
      </w:pPr>
    </w:p>
    <w:p w:rsidR="00FF6CCE" w:rsidRDefault="00FF6CCE" w:rsidP="00FF6CCE">
      <w:pPr>
        <w:ind w:firstLine="480"/>
        <w:rPr>
          <w:rFonts w:hint="eastAsia"/>
        </w:rPr>
      </w:pPr>
    </w:p>
    <w:p w:rsidR="00FF6CCE" w:rsidRDefault="00FF6CCE" w:rsidP="00FF6CCE">
      <w:pPr>
        <w:ind w:firstLine="480"/>
        <w:rPr>
          <w:rFonts w:hint="eastAsia"/>
        </w:rPr>
      </w:pPr>
    </w:p>
    <w:p w:rsidR="00FF6CCE" w:rsidRDefault="00FF6CCE" w:rsidP="00FF6CCE">
      <w:pPr>
        <w:pStyle w:val="a"/>
        <w:numPr>
          <w:ilvl w:val="0"/>
          <w:numId w:val="10"/>
        </w:numPr>
        <w:tabs>
          <w:tab w:val="clear" w:pos="0"/>
        </w:tabs>
      </w:pPr>
      <w:bookmarkStart w:id="268" w:name="_Toc392513102"/>
      <w:r>
        <w:rPr>
          <w:rFonts w:hint="eastAsia"/>
        </w:rPr>
        <w:t>美国能源部能源效率和可再生能源预算</w:t>
      </w:r>
      <w:bookmarkEnd w:id="268"/>
    </w:p>
    <w:tbl>
      <w:tblPr>
        <w:tblW w:w="0" w:type="auto"/>
        <w:tblLayout w:type="fixed"/>
        <w:tblLook w:val="0000" w:firstRow="0" w:lastRow="0" w:firstColumn="0" w:lastColumn="0" w:noHBand="0" w:noVBand="0"/>
      </w:tblPr>
      <w:tblGrid>
        <w:gridCol w:w="2628"/>
        <w:gridCol w:w="1779"/>
        <w:gridCol w:w="1600"/>
        <w:gridCol w:w="1889"/>
        <w:gridCol w:w="1639"/>
      </w:tblGrid>
      <w:tr w:rsidR="00FF6CCE" w:rsidTr="00FF6CCE">
        <w:trPr>
          <w:trHeight w:val="285"/>
        </w:trPr>
        <w:tc>
          <w:tcPr>
            <w:tcW w:w="2628" w:type="dxa"/>
            <w:tcBorders>
              <w:top w:val="single" w:sz="4" w:space="0" w:color="auto"/>
              <w:left w:val="single" w:sz="4" w:space="0" w:color="auto"/>
              <w:bottom w:val="single" w:sz="4" w:space="0" w:color="auto"/>
              <w:right w:val="single" w:sz="4" w:space="0" w:color="auto"/>
            </w:tcBorders>
            <w:vAlign w:val="center"/>
          </w:tcPr>
          <w:p w:rsidR="00FF6CCE" w:rsidRDefault="00FF6CCE" w:rsidP="00FF6CCE">
            <w:pPr>
              <w:ind w:firstLine="440"/>
              <w:jc w:val="left"/>
              <w:rPr>
                <w:rFonts w:ascii="宋体" w:hAnsi="宋体" w:cs="宋体"/>
                <w:sz w:val="22"/>
                <w:szCs w:val="22"/>
              </w:rPr>
            </w:pPr>
            <w:r>
              <w:rPr>
                <w:rFonts w:ascii="宋体" w:hAnsi="宋体" w:cs="宋体" w:hint="eastAsia"/>
                <w:sz w:val="22"/>
                <w:szCs w:val="22"/>
              </w:rPr>
              <w:t xml:space="preserve">　</w:t>
            </w:r>
          </w:p>
        </w:tc>
        <w:tc>
          <w:tcPr>
            <w:tcW w:w="1779" w:type="dxa"/>
            <w:tcBorders>
              <w:top w:val="single" w:sz="4" w:space="0" w:color="auto"/>
              <w:left w:val="nil"/>
              <w:bottom w:val="single" w:sz="4" w:space="0" w:color="auto"/>
              <w:right w:val="single" w:sz="4" w:space="0" w:color="auto"/>
            </w:tcBorders>
            <w:vAlign w:val="center"/>
          </w:tcPr>
          <w:p w:rsidR="00FF6CCE" w:rsidRDefault="00FF6CCE" w:rsidP="00FF6CCE">
            <w:pPr>
              <w:jc w:val="left"/>
              <w:rPr>
                <w:rFonts w:ascii="宋体" w:hAnsi="宋体" w:cs="宋体" w:hint="eastAsia"/>
                <w:b/>
                <w:bCs/>
                <w:sz w:val="22"/>
                <w:szCs w:val="22"/>
              </w:rPr>
            </w:pPr>
            <w:r>
              <w:rPr>
                <w:rFonts w:ascii="宋体" w:hAnsi="宋体" w:cs="宋体" w:hint="eastAsia"/>
                <w:b/>
                <w:bCs/>
                <w:sz w:val="22"/>
                <w:szCs w:val="22"/>
              </w:rPr>
              <w:t>2012财年现状</w:t>
            </w:r>
          </w:p>
          <w:p w:rsidR="00FF6CCE" w:rsidRDefault="00FF6CCE" w:rsidP="00FF6CCE">
            <w:pPr>
              <w:jc w:val="left"/>
              <w:rPr>
                <w:rFonts w:ascii="宋体" w:hAnsi="宋体" w:cs="宋体"/>
                <w:b/>
                <w:bCs/>
                <w:sz w:val="22"/>
                <w:szCs w:val="22"/>
              </w:rPr>
            </w:pPr>
            <w:r>
              <w:rPr>
                <w:rFonts w:ascii="宋体" w:hAnsi="宋体" w:cs="宋体" w:hint="eastAsia"/>
                <w:b/>
                <w:bCs/>
                <w:sz w:val="22"/>
                <w:szCs w:val="22"/>
              </w:rPr>
              <w:t>（百万美元）</w:t>
            </w:r>
          </w:p>
        </w:tc>
        <w:tc>
          <w:tcPr>
            <w:tcW w:w="1600" w:type="dxa"/>
            <w:tcBorders>
              <w:top w:val="single" w:sz="4" w:space="0" w:color="auto"/>
              <w:left w:val="nil"/>
              <w:bottom w:val="single" w:sz="4" w:space="0" w:color="auto"/>
              <w:right w:val="single" w:sz="4" w:space="0" w:color="auto"/>
            </w:tcBorders>
            <w:vAlign w:val="center"/>
          </w:tcPr>
          <w:p w:rsidR="00FF6CCE" w:rsidRDefault="00FF6CCE" w:rsidP="00FF6CCE">
            <w:pPr>
              <w:jc w:val="left"/>
              <w:rPr>
                <w:rFonts w:ascii="宋体" w:hAnsi="宋体" w:cs="宋体" w:hint="eastAsia"/>
                <w:b/>
                <w:bCs/>
                <w:sz w:val="22"/>
                <w:szCs w:val="22"/>
              </w:rPr>
            </w:pPr>
            <w:r>
              <w:rPr>
                <w:rFonts w:ascii="宋体" w:hAnsi="宋体" w:cs="宋体" w:hint="eastAsia"/>
                <w:b/>
                <w:bCs/>
                <w:sz w:val="22"/>
                <w:szCs w:val="22"/>
              </w:rPr>
              <w:t>2013财年需求</w:t>
            </w:r>
          </w:p>
          <w:p w:rsidR="00FF6CCE" w:rsidRDefault="00FF6CCE" w:rsidP="00FF6CCE">
            <w:pPr>
              <w:jc w:val="left"/>
              <w:rPr>
                <w:rFonts w:ascii="宋体" w:hAnsi="宋体" w:cs="宋体"/>
                <w:b/>
                <w:bCs/>
                <w:sz w:val="22"/>
                <w:szCs w:val="22"/>
              </w:rPr>
            </w:pPr>
            <w:r>
              <w:rPr>
                <w:rFonts w:ascii="宋体" w:hAnsi="宋体" w:cs="宋体" w:hint="eastAsia"/>
                <w:b/>
                <w:bCs/>
                <w:sz w:val="22"/>
                <w:szCs w:val="22"/>
              </w:rPr>
              <w:t>（百万美元）</w:t>
            </w:r>
          </w:p>
        </w:tc>
        <w:tc>
          <w:tcPr>
            <w:tcW w:w="1889" w:type="dxa"/>
            <w:tcBorders>
              <w:top w:val="single" w:sz="4" w:space="0" w:color="auto"/>
              <w:left w:val="nil"/>
              <w:bottom w:val="single" w:sz="4" w:space="0" w:color="auto"/>
              <w:right w:val="single" w:sz="4" w:space="0" w:color="auto"/>
            </w:tcBorders>
            <w:vAlign w:val="center"/>
          </w:tcPr>
          <w:p w:rsidR="00FF6CCE" w:rsidRDefault="00FF6CCE" w:rsidP="00FF6CCE">
            <w:pPr>
              <w:jc w:val="left"/>
              <w:rPr>
                <w:rFonts w:ascii="宋体" w:hAnsi="宋体" w:cs="宋体" w:hint="eastAsia"/>
                <w:b/>
                <w:bCs/>
                <w:sz w:val="22"/>
                <w:szCs w:val="22"/>
              </w:rPr>
            </w:pPr>
            <w:r>
              <w:rPr>
                <w:rFonts w:ascii="宋体" w:hAnsi="宋体" w:cs="宋体" w:hint="eastAsia"/>
                <w:b/>
                <w:bCs/>
                <w:sz w:val="22"/>
                <w:szCs w:val="22"/>
              </w:rPr>
              <w:t>2013财年年度CR</w:t>
            </w:r>
          </w:p>
          <w:p w:rsidR="00FF6CCE" w:rsidRDefault="00FF6CCE" w:rsidP="00FF6CCE">
            <w:pPr>
              <w:jc w:val="left"/>
              <w:rPr>
                <w:rFonts w:ascii="宋体" w:hAnsi="宋体" w:cs="宋体"/>
                <w:b/>
                <w:bCs/>
                <w:sz w:val="22"/>
                <w:szCs w:val="22"/>
              </w:rPr>
            </w:pPr>
            <w:r>
              <w:rPr>
                <w:rFonts w:ascii="宋体" w:hAnsi="宋体" w:cs="宋体" w:hint="eastAsia"/>
                <w:b/>
                <w:bCs/>
                <w:sz w:val="22"/>
                <w:szCs w:val="22"/>
              </w:rPr>
              <w:t>（百万美元）</w:t>
            </w:r>
          </w:p>
        </w:tc>
        <w:tc>
          <w:tcPr>
            <w:tcW w:w="1639" w:type="dxa"/>
            <w:tcBorders>
              <w:top w:val="single" w:sz="4" w:space="0" w:color="auto"/>
              <w:left w:val="nil"/>
              <w:bottom w:val="single" w:sz="4" w:space="0" w:color="auto"/>
              <w:right w:val="single" w:sz="4" w:space="0" w:color="auto"/>
            </w:tcBorders>
            <w:vAlign w:val="center"/>
          </w:tcPr>
          <w:p w:rsidR="00FF6CCE" w:rsidRDefault="00FF6CCE" w:rsidP="00FF6CCE">
            <w:pPr>
              <w:jc w:val="left"/>
              <w:rPr>
                <w:rFonts w:ascii="宋体" w:hAnsi="宋体" w:cs="宋体" w:hint="eastAsia"/>
                <w:b/>
                <w:bCs/>
                <w:sz w:val="22"/>
                <w:szCs w:val="22"/>
              </w:rPr>
            </w:pPr>
            <w:r>
              <w:rPr>
                <w:rFonts w:ascii="宋体" w:hAnsi="宋体" w:cs="宋体" w:hint="eastAsia"/>
                <w:b/>
                <w:bCs/>
                <w:sz w:val="22"/>
                <w:szCs w:val="22"/>
              </w:rPr>
              <w:t>2014财年需求</w:t>
            </w:r>
          </w:p>
          <w:p w:rsidR="00FF6CCE" w:rsidRDefault="00FF6CCE" w:rsidP="00FF6CCE">
            <w:pPr>
              <w:jc w:val="left"/>
              <w:rPr>
                <w:rFonts w:ascii="宋体" w:hAnsi="宋体" w:cs="宋体"/>
                <w:b/>
                <w:bCs/>
                <w:sz w:val="22"/>
                <w:szCs w:val="22"/>
              </w:rPr>
            </w:pPr>
            <w:r>
              <w:rPr>
                <w:rFonts w:ascii="宋体" w:hAnsi="宋体" w:cs="宋体" w:hint="eastAsia"/>
                <w:b/>
                <w:bCs/>
                <w:sz w:val="22"/>
                <w:szCs w:val="22"/>
              </w:rPr>
              <w:t>（百万美元）</w:t>
            </w:r>
          </w:p>
        </w:tc>
      </w:tr>
      <w:tr w:rsidR="00FF6CCE" w:rsidTr="00FF6CCE">
        <w:trPr>
          <w:trHeight w:val="285"/>
        </w:trPr>
        <w:tc>
          <w:tcPr>
            <w:tcW w:w="2628" w:type="dxa"/>
            <w:tcBorders>
              <w:top w:val="nil"/>
              <w:left w:val="single" w:sz="4" w:space="0" w:color="auto"/>
              <w:bottom w:val="single" w:sz="4" w:space="0" w:color="auto"/>
              <w:right w:val="single" w:sz="4" w:space="0" w:color="auto"/>
            </w:tcBorders>
            <w:vAlign w:val="center"/>
          </w:tcPr>
          <w:p w:rsidR="00FF6CCE" w:rsidRDefault="00FF6CCE" w:rsidP="00FF6CCE">
            <w:pPr>
              <w:jc w:val="left"/>
              <w:rPr>
                <w:rFonts w:ascii="宋体" w:hAnsi="宋体" w:cs="宋体"/>
                <w:b/>
                <w:bCs/>
                <w:sz w:val="22"/>
                <w:szCs w:val="22"/>
              </w:rPr>
            </w:pPr>
            <w:r>
              <w:rPr>
                <w:rFonts w:ascii="宋体" w:hAnsi="宋体" w:cs="宋体" w:hint="eastAsia"/>
                <w:b/>
                <w:bCs/>
                <w:sz w:val="22"/>
                <w:szCs w:val="22"/>
              </w:rPr>
              <w:t>可持续交通</w:t>
            </w:r>
          </w:p>
        </w:tc>
        <w:tc>
          <w:tcPr>
            <w:tcW w:w="177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617,287</w:t>
            </w:r>
          </w:p>
        </w:tc>
        <w:tc>
          <w:tcPr>
            <w:tcW w:w="1600"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770,000</w:t>
            </w:r>
          </w:p>
        </w:tc>
        <w:tc>
          <w:tcPr>
            <w:tcW w:w="188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635,573</w:t>
            </w:r>
          </w:p>
        </w:tc>
        <w:tc>
          <w:tcPr>
            <w:tcW w:w="163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957,000</w:t>
            </w:r>
          </w:p>
        </w:tc>
      </w:tr>
      <w:tr w:rsidR="00FF6CCE" w:rsidTr="00FF6CCE">
        <w:trPr>
          <w:trHeight w:val="285"/>
        </w:trPr>
        <w:tc>
          <w:tcPr>
            <w:tcW w:w="2628" w:type="dxa"/>
            <w:tcBorders>
              <w:top w:val="nil"/>
              <w:left w:val="single" w:sz="4" w:space="0" w:color="auto"/>
              <w:bottom w:val="single" w:sz="4" w:space="0" w:color="auto"/>
              <w:right w:val="single" w:sz="4" w:space="0" w:color="auto"/>
            </w:tcBorders>
            <w:vAlign w:val="center"/>
          </w:tcPr>
          <w:p w:rsidR="00FF6CCE" w:rsidRDefault="00FF6CCE" w:rsidP="00FF6CCE">
            <w:pPr>
              <w:ind w:leftChars="100" w:left="210"/>
              <w:jc w:val="left"/>
              <w:rPr>
                <w:rFonts w:ascii="宋体" w:hAnsi="宋体" w:cs="宋体"/>
                <w:sz w:val="22"/>
                <w:szCs w:val="22"/>
              </w:rPr>
            </w:pPr>
            <w:r>
              <w:rPr>
                <w:rFonts w:ascii="宋体" w:hAnsi="宋体" w:cs="宋体" w:hint="eastAsia"/>
                <w:sz w:val="22"/>
                <w:szCs w:val="22"/>
              </w:rPr>
              <w:t>车辆技术</w:t>
            </w:r>
          </w:p>
        </w:tc>
        <w:tc>
          <w:tcPr>
            <w:tcW w:w="177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320,966</w:t>
            </w:r>
          </w:p>
        </w:tc>
        <w:tc>
          <w:tcPr>
            <w:tcW w:w="1600"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420,000</w:t>
            </w:r>
          </w:p>
        </w:tc>
        <w:tc>
          <w:tcPr>
            <w:tcW w:w="188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330,819</w:t>
            </w:r>
          </w:p>
        </w:tc>
        <w:tc>
          <w:tcPr>
            <w:tcW w:w="163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575,000</w:t>
            </w:r>
          </w:p>
        </w:tc>
      </w:tr>
      <w:tr w:rsidR="00FF6CCE" w:rsidTr="00FF6CCE">
        <w:trPr>
          <w:trHeight w:val="285"/>
        </w:trPr>
        <w:tc>
          <w:tcPr>
            <w:tcW w:w="2628" w:type="dxa"/>
            <w:tcBorders>
              <w:top w:val="nil"/>
              <w:left w:val="single" w:sz="4" w:space="0" w:color="auto"/>
              <w:bottom w:val="single" w:sz="4" w:space="0" w:color="auto"/>
              <w:right w:val="single" w:sz="4" w:space="0" w:color="auto"/>
            </w:tcBorders>
            <w:vAlign w:val="center"/>
          </w:tcPr>
          <w:p w:rsidR="00FF6CCE" w:rsidRDefault="00FF6CCE" w:rsidP="00FF6CCE">
            <w:pPr>
              <w:ind w:leftChars="100" w:left="210"/>
              <w:jc w:val="left"/>
              <w:rPr>
                <w:rFonts w:ascii="宋体" w:hAnsi="宋体" w:cs="宋体"/>
                <w:sz w:val="22"/>
                <w:szCs w:val="22"/>
              </w:rPr>
            </w:pPr>
            <w:r>
              <w:rPr>
                <w:rFonts w:ascii="宋体" w:hAnsi="宋体" w:cs="宋体" w:hint="eastAsia"/>
                <w:sz w:val="22"/>
                <w:szCs w:val="22"/>
              </w:rPr>
              <w:t>生物能源技术</w:t>
            </w:r>
          </w:p>
        </w:tc>
        <w:tc>
          <w:tcPr>
            <w:tcW w:w="177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194,995</w:t>
            </w:r>
          </w:p>
        </w:tc>
        <w:tc>
          <w:tcPr>
            <w:tcW w:w="1600"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270,000</w:t>
            </w:r>
          </w:p>
        </w:tc>
        <w:tc>
          <w:tcPr>
            <w:tcW w:w="188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200,496</w:t>
            </w:r>
          </w:p>
        </w:tc>
        <w:tc>
          <w:tcPr>
            <w:tcW w:w="163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282,000</w:t>
            </w:r>
          </w:p>
        </w:tc>
      </w:tr>
      <w:tr w:rsidR="00FF6CCE" w:rsidTr="00FF6CCE">
        <w:trPr>
          <w:trHeight w:val="285"/>
        </w:trPr>
        <w:tc>
          <w:tcPr>
            <w:tcW w:w="2628" w:type="dxa"/>
            <w:tcBorders>
              <w:top w:val="nil"/>
              <w:left w:val="single" w:sz="4" w:space="0" w:color="auto"/>
              <w:bottom w:val="single" w:sz="4" w:space="0" w:color="auto"/>
              <w:right w:val="single" w:sz="4" w:space="0" w:color="auto"/>
            </w:tcBorders>
            <w:vAlign w:val="center"/>
          </w:tcPr>
          <w:p w:rsidR="00FF6CCE" w:rsidRDefault="00FF6CCE" w:rsidP="00FF6CCE">
            <w:pPr>
              <w:ind w:leftChars="100" w:left="210"/>
              <w:jc w:val="left"/>
              <w:rPr>
                <w:rFonts w:ascii="宋体" w:hAnsi="宋体" w:cs="宋体"/>
                <w:sz w:val="22"/>
                <w:szCs w:val="22"/>
              </w:rPr>
            </w:pPr>
            <w:r>
              <w:rPr>
                <w:rFonts w:ascii="宋体" w:hAnsi="宋体" w:cs="宋体" w:hint="eastAsia"/>
                <w:sz w:val="22"/>
                <w:szCs w:val="22"/>
              </w:rPr>
              <w:t>氢燃料电池技术</w:t>
            </w:r>
          </w:p>
        </w:tc>
        <w:tc>
          <w:tcPr>
            <w:tcW w:w="177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101,326</w:t>
            </w:r>
          </w:p>
        </w:tc>
        <w:tc>
          <w:tcPr>
            <w:tcW w:w="1600"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80,000</w:t>
            </w:r>
          </w:p>
        </w:tc>
        <w:tc>
          <w:tcPr>
            <w:tcW w:w="188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104,258</w:t>
            </w:r>
          </w:p>
        </w:tc>
        <w:tc>
          <w:tcPr>
            <w:tcW w:w="163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100,000</w:t>
            </w:r>
          </w:p>
        </w:tc>
      </w:tr>
      <w:tr w:rsidR="00FF6CCE" w:rsidTr="00FF6CCE">
        <w:trPr>
          <w:trHeight w:val="285"/>
        </w:trPr>
        <w:tc>
          <w:tcPr>
            <w:tcW w:w="2628" w:type="dxa"/>
            <w:tcBorders>
              <w:top w:val="nil"/>
              <w:left w:val="single" w:sz="4" w:space="0" w:color="auto"/>
              <w:bottom w:val="single" w:sz="4" w:space="0" w:color="auto"/>
              <w:right w:val="single" w:sz="4" w:space="0" w:color="auto"/>
            </w:tcBorders>
            <w:vAlign w:val="center"/>
          </w:tcPr>
          <w:p w:rsidR="00FF6CCE" w:rsidRDefault="00FF6CCE" w:rsidP="00FF6CCE">
            <w:pPr>
              <w:jc w:val="left"/>
              <w:rPr>
                <w:rFonts w:ascii="宋体" w:hAnsi="宋体" w:cs="宋体"/>
                <w:b/>
                <w:sz w:val="22"/>
                <w:szCs w:val="22"/>
              </w:rPr>
            </w:pPr>
            <w:r>
              <w:rPr>
                <w:rFonts w:ascii="宋体" w:hAnsi="宋体" w:cs="宋体" w:hint="eastAsia"/>
                <w:b/>
                <w:sz w:val="22"/>
                <w:szCs w:val="22"/>
              </w:rPr>
              <w:t>能源效率</w:t>
            </w:r>
          </w:p>
        </w:tc>
        <w:tc>
          <w:tcPr>
            <w:tcW w:w="177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485,289</w:t>
            </w:r>
          </w:p>
        </w:tc>
        <w:tc>
          <w:tcPr>
            <w:tcW w:w="1600"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872,000</w:t>
            </w:r>
          </w:p>
        </w:tc>
        <w:tc>
          <w:tcPr>
            <w:tcW w:w="188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495,690</w:t>
            </w:r>
          </w:p>
        </w:tc>
        <w:tc>
          <w:tcPr>
            <w:tcW w:w="163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sz w:val="22"/>
                <w:szCs w:val="22"/>
              </w:rPr>
            </w:pPr>
            <w:r>
              <w:rPr>
                <w:rFonts w:ascii="宋体" w:hAnsi="宋体" w:cs="宋体" w:hint="eastAsia"/>
                <w:b/>
                <w:sz w:val="22"/>
                <w:szCs w:val="22"/>
              </w:rPr>
              <w:t>949,000</w:t>
            </w:r>
          </w:p>
        </w:tc>
      </w:tr>
      <w:tr w:rsidR="00FF6CCE" w:rsidTr="00FF6CCE">
        <w:trPr>
          <w:trHeight w:val="285"/>
        </w:trPr>
        <w:tc>
          <w:tcPr>
            <w:tcW w:w="2628" w:type="dxa"/>
            <w:tcBorders>
              <w:top w:val="nil"/>
              <w:left w:val="single" w:sz="4" w:space="0" w:color="auto"/>
              <w:bottom w:val="single" w:sz="4" w:space="0" w:color="auto"/>
              <w:right w:val="single" w:sz="4" w:space="0" w:color="auto"/>
            </w:tcBorders>
            <w:vAlign w:val="center"/>
          </w:tcPr>
          <w:p w:rsidR="00FF6CCE" w:rsidRDefault="00FF6CCE" w:rsidP="00FF6CCE">
            <w:pPr>
              <w:ind w:leftChars="100" w:left="210"/>
              <w:jc w:val="left"/>
              <w:rPr>
                <w:rFonts w:ascii="宋体" w:hAnsi="宋体" w:cs="宋体"/>
                <w:sz w:val="22"/>
                <w:szCs w:val="22"/>
              </w:rPr>
            </w:pPr>
            <w:r>
              <w:rPr>
                <w:rFonts w:ascii="宋体" w:hAnsi="宋体" w:cs="宋体" w:hint="eastAsia"/>
                <w:sz w:val="22"/>
                <w:szCs w:val="22"/>
              </w:rPr>
              <w:t>先进制造</w:t>
            </w:r>
          </w:p>
        </w:tc>
        <w:tc>
          <w:tcPr>
            <w:tcW w:w="177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112,692</w:t>
            </w:r>
          </w:p>
        </w:tc>
        <w:tc>
          <w:tcPr>
            <w:tcW w:w="1600"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290,000</w:t>
            </w:r>
          </w:p>
        </w:tc>
        <w:tc>
          <w:tcPr>
            <w:tcW w:w="188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116,287</w:t>
            </w:r>
          </w:p>
        </w:tc>
        <w:tc>
          <w:tcPr>
            <w:tcW w:w="163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365,000</w:t>
            </w:r>
          </w:p>
        </w:tc>
      </w:tr>
      <w:tr w:rsidR="00FF6CCE" w:rsidTr="00FF6CCE">
        <w:trPr>
          <w:trHeight w:val="285"/>
        </w:trPr>
        <w:tc>
          <w:tcPr>
            <w:tcW w:w="2628" w:type="dxa"/>
            <w:tcBorders>
              <w:top w:val="nil"/>
              <w:left w:val="single" w:sz="4" w:space="0" w:color="auto"/>
              <w:bottom w:val="single" w:sz="4" w:space="0" w:color="auto"/>
              <w:right w:val="single" w:sz="4" w:space="0" w:color="auto"/>
            </w:tcBorders>
            <w:vAlign w:val="center"/>
          </w:tcPr>
          <w:p w:rsidR="00FF6CCE" w:rsidRDefault="00FF6CCE" w:rsidP="00FF6CCE">
            <w:pPr>
              <w:ind w:leftChars="100" w:left="210"/>
              <w:jc w:val="left"/>
              <w:rPr>
                <w:rFonts w:ascii="宋体" w:hAnsi="宋体" w:cs="宋体"/>
                <w:sz w:val="22"/>
                <w:szCs w:val="22"/>
              </w:rPr>
            </w:pPr>
            <w:r>
              <w:rPr>
                <w:rFonts w:ascii="宋体" w:hAnsi="宋体" w:cs="宋体" w:hint="eastAsia"/>
                <w:sz w:val="22"/>
                <w:szCs w:val="22"/>
              </w:rPr>
              <w:t>建筑技术</w:t>
            </w:r>
          </w:p>
        </w:tc>
        <w:tc>
          <w:tcPr>
            <w:tcW w:w="177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214,706</w:t>
            </w:r>
          </w:p>
        </w:tc>
        <w:tc>
          <w:tcPr>
            <w:tcW w:w="1600"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310,000</w:t>
            </w:r>
          </w:p>
        </w:tc>
        <w:tc>
          <w:tcPr>
            <w:tcW w:w="188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220,546</w:t>
            </w:r>
          </w:p>
        </w:tc>
        <w:tc>
          <w:tcPr>
            <w:tcW w:w="163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300,000</w:t>
            </w:r>
          </w:p>
        </w:tc>
      </w:tr>
      <w:tr w:rsidR="00FF6CCE" w:rsidTr="00FF6CCE">
        <w:trPr>
          <w:trHeight w:val="285"/>
        </w:trPr>
        <w:tc>
          <w:tcPr>
            <w:tcW w:w="2628" w:type="dxa"/>
            <w:tcBorders>
              <w:top w:val="nil"/>
              <w:left w:val="single" w:sz="4" w:space="0" w:color="auto"/>
              <w:bottom w:val="single" w:sz="4" w:space="0" w:color="auto"/>
              <w:right w:val="single" w:sz="4" w:space="0" w:color="auto"/>
            </w:tcBorders>
            <w:vAlign w:val="center"/>
          </w:tcPr>
          <w:p w:rsidR="00FF6CCE" w:rsidRDefault="00FF6CCE" w:rsidP="00FF6CCE">
            <w:pPr>
              <w:ind w:leftChars="100" w:left="210"/>
              <w:jc w:val="left"/>
              <w:rPr>
                <w:rFonts w:ascii="宋体" w:hAnsi="宋体" w:cs="宋体"/>
                <w:sz w:val="22"/>
                <w:szCs w:val="22"/>
              </w:rPr>
            </w:pPr>
            <w:r>
              <w:rPr>
                <w:rFonts w:ascii="宋体" w:hAnsi="宋体" w:cs="宋体" w:hint="eastAsia"/>
                <w:sz w:val="22"/>
                <w:szCs w:val="22"/>
              </w:rPr>
              <w:t>联邦能源管理项目</w:t>
            </w:r>
          </w:p>
        </w:tc>
        <w:tc>
          <w:tcPr>
            <w:tcW w:w="177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29,891</w:t>
            </w:r>
          </w:p>
        </w:tc>
        <w:tc>
          <w:tcPr>
            <w:tcW w:w="1600"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32,000</w:t>
            </w:r>
          </w:p>
        </w:tc>
        <w:tc>
          <w:tcPr>
            <w:tcW w:w="188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30,074</w:t>
            </w:r>
          </w:p>
        </w:tc>
        <w:tc>
          <w:tcPr>
            <w:tcW w:w="163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36,000</w:t>
            </w:r>
          </w:p>
        </w:tc>
      </w:tr>
      <w:tr w:rsidR="00FF6CCE" w:rsidTr="00FF6CCE">
        <w:trPr>
          <w:trHeight w:val="285"/>
        </w:trPr>
        <w:tc>
          <w:tcPr>
            <w:tcW w:w="2628" w:type="dxa"/>
            <w:tcBorders>
              <w:top w:val="nil"/>
              <w:left w:val="single" w:sz="4" w:space="0" w:color="auto"/>
              <w:bottom w:val="single" w:sz="4" w:space="0" w:color="auto"/>
              <w:right w:val="single" w:sz="4" w:space="0" w:color="auto"/>
            </w:tcBorders>
            <w:vAlign w:val="center"/>
          </w:tcPr>
          <w:p w:rsidR="00FF6CCE" w:rsidRDefault="00FF6CCE" w:rsidP="00FF6CCE">
            <w:pPr>
              <w:ind w:leftChars="100" w:left="210"/>
              <w:jc w:val="left"/>
              <w:rPr>
                <w:rFonts w:ascii="宋体" w:hAnsi="宋体" w:cs="宋体"/>
                <w:sz w:val="22"/>
                <w:szCs w:val="22"/>
              </w:rPr>
            </w:pPr>
            <w:r>
              <w:rPr>
                <w:rFonts w:ascii="宋体" w:hAnsi="宋体" w:cs="宋体" w:hint="eastAsia"/>
                <w:sz w:val="22"/>
                <w:szCs w:val="22"/>
              </w:rPr>
              <w:t>保暖和政府内部活动</w:t>
            </w:r>
          </w:p>
        </w:tc>
        <w:tc>
          <w:tcPr>
            <w:tcW w:w="177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128,000</w:t>
            </w:r>
          </w:p>
        </w:tc>
        <w:tc>
          <w:tcPr>
            <w:tcW w:w="1600"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195,000</w:t>
            </w:r>
          </w:p>
        </w:tc>
        <w:tc>
          <w:tcPr>
            <w:tcW w:w="188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128,783</w:t>
            </w:r>
          </w:p>
        </w:tc>
        <w:tc>
          <w:tcPr>
            <w:tcW w:w="163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248,000</w:t>
            </w:r>
          </w:p>
        </w:tc>
      </w:tr>
      <w:tr w:rsidR="00FF6CCE" w:rsidTr="00FF6CCE">
        <w:trPr>
          <w:trHeight w:val="285"/>
        </w:trPr>
        <w:tc>
          <w:tcPr>
            <w:tcW w:w="2628" w:type="dxa"/>
            <w:tcBorders>
              <w:top w:val="nil"/>
              <w:left w:val="single" w:sz="4" w:space="0" w:color="auto"/>
              <w:bottom w:val="single" w:sz="4" w:space="0" w:color="auto"/>
              <w:right w:val="single" w:sz="4" w:space="0" w:color="auto"/>
            </w:tcBorders>
            <w:vAlign w:val="center"/>
          </w:tcPr>
          <w:p w:rsidR="00FF6CCE" w:rsidRDefault="00FF6CCE" w:rsidP="00FF6CCE">
            <w:pPr>
              <w:jc w:val="left"/>
              <w:rPr>
                <w:rFonts w:ascii="宋体" w:hAnsi="宋体" w:cs="宋体"/>
                <w:b/>
                <w:bCs/>
                <w:sz w:val="22"/>
                <w:szCs w:val="22"/>
              </w:rPr>
            </w:pPr>
            <w:r>
              <w:rPr>
                <w:rFonts w:ascii="宋体" w:hAnsi="宋体" w:cs="宋体" w:hint="eastAsia"/>
                <w:b/>
                <w:bCs/>
                <w:sz w:val="22"/>
                <w:szCs w:val="22"/>
              </w:rPr>
              <w:t>可再生能源</w:t>
            </w:r>
          </w:p>
        </w:tc>
        <w:tc>
          <w:tcPr>
            <w:tcW w:w="177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471,570</w:t>
            </w:r>
          </w:p>
        </w:tc>
        <w:tc>
          <w:tcPr>
            <w:tcW w:w="1600"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490,000</w:t>
            </w:r>
          </w:p>
        </w:tc>
        <w:tc>
          <w:tcPr>
            <w:tcW w:w="188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481,785</w:t>
            </w:r>
          </w:p>
        </w:tc>
        <w:tc>
          <w:tcPr>
            <w:tcW w:w="163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615,500</w:t>
            </w:r>
          </w:p>
        </w:tc>
      </w:tr>
      <w:tr w:rsidR="00FF6CCE" w:rsidTr="00FF6CCE">
        <w:trPr>
          <w:trHeight w:val="285"/>
        </w:trPr>
        <w:tc>
          <w:tcPr>
            <w:tcW w:w="2628" w:type="dxa"/>
            <w:tcBorders>
              <w:top w:val="nil"/>
              <w:left w:val="single" w:sz="4" w:space="0" w:color="auto"/>
              <w:bottom w:val="single" w:sz="4" w:space="0" w:color="auto"/>
              <w:right w:val="single" w:sz="4" w:space="0" w:color="auto"/>
            </w:tcBorders>
            <w:vAlign w:val="center"/>
          </w:tcPr>
          <w:p w:rsidR="00FF6CCE" w:rsidRDefault="00FF6CCE" w:rsidP="00FF6CCE">
            <w:pPr>
              <w:ind w:leftChars="100" w:left="210"/>
              <w:jc w:val="left"/>
              <w:rPr>
                <w:rFonts w:ascii="宋体" w:hAnsi="宋体" w:cs="宋体"/>
                <w:sz w:val="22"/>
                <w:szCs w:val="22"/>
              </w:rPr>
            </w:pPr>
            <w:r>
              <w:rPr>
                <w:rFonts w:ascii="宋体" w:hAnsi="宋体" w:cs="宋体" w:hint="eastAsia"/>
                <w:sz w:val="22"/>
                <w:szCs w:val="22"/>
              </w:rPr>
              <w:t>太阳能</w:t>
            </w:r>
          </w:p>
        </w:tc>
        <w:tc>
          <w:tcPr>
            <w:tcW w:w="177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284,702</w:t>
            </w:r>
          </w:p>
        </w:tc>
        <w:tc>
          <w:tcPr>
            <w:tcW w:w="1600"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310,000</w:t>
            </w:r>
          </w:p>
        </w:tc>
        <w:tc>
          <w:tcPr>
            <w:tcW w:w="188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290,719</w:t>
            </w:r>
          </w:p>
        </w:tc>
        <w:tc>
          <w:tcPr>
            <w:tcW w:w="163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356,500</w:t>
            </w:r>
          </w:p>
        </w:tc>
      </w:tr>
      <w:tr w:rsidR="00FF6CCE" w:rsidTr="00FF6CCE">
        <w:trPr>
          <w:trHeight w:val="285"/>
        </w:trPr>
        <w:tc>
          <w:tcPr>
            <w:tcW w:w="2628" w:type="dxa"/>
            <w:tcBorders>
              <w:top w:val="nil"/>
              <w:left w:val="single" w:sz="4" w:space="0" w:color="auto"/>
              <w:bottom w:val="single" w:sz="4" w:space="0" w:color="auto"/>
              <w:right w:val="single" w:sz="4" w:space="0" w:color="auto"/>
            </w:tcBorders>
            <w:vAlign w:val="center"/>
          </w:tcPr>
          <w:p w:rsidR="00FF6CCE" w:rsidRDefault="00FF6CCE" w:rsidP="00FF6CCE">
            <w:pPr>
              <w:ind w:leftChars="100" w:left="210"/>
              <w:jc w:val="left"/>
              <w:rPr>
                <w:rFonts w:ascii="宋体" w:hAnsi="宋体" w:cs="宋体"/>
                <w:sz w:val="22"/>
                <w:szCs w:val="22"/>
              </w:rPr>
            </w:pPr>
            <w:r>
              <w:rPr>
                <w:rFonts w:ascii="宋体" w:hAnsi="宋体" w:cs="宋体" w:hint="eastAsia"/>
                <w:sz w:val="22"/>
                <w:szCs w:val="22"/>
              </w:rPr>
              <w:t>风能</w:t>
            </w:r>
          </w:p>
        </w:tc>
        <w:tc>
          <w:tcPr>
            <w:tcW w:w="177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91,813</w:t>
            </w:r>
          </w:p>
        </w:tc>
        <w:tc>
          <w:tcPr>
            <w:tcW w:w="1600"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95,000</w:t>
            </w:r>
          </w:p>
        </w:tc>
        <w:tc>
          <w:tcPr>
            <w:tcW w:w="188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93,825</w:t>
            </w:r>
          </w:p>
        </w:tc>
        <w:tc>
          <w:tcPr>
            <w:tcW w:w="163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144,000</w:t>
            </w:r>
          </w:p>
        </w:tc>
      </w:tr>
      <w:tr w:rsidR="00FF6CCE" w:rsidTr="00FF6CCE">
        <w:trPr>
          <w:trHeight w:val="285"/>
        </w:trPr>
        <w:tc>
          <w:tcPr>
            <w:tcW w:w="2628" w:type="dxa"/>
            <w:tcBorders>
              <w:top w:val="nil"/>
              <w:left w:val="single" w:sz="4" w:space="0" w:color="auto"/>
              <w:bottom w:val="single" w:sz="4" w:space="0" w:color="auto"/>
              <w:right w:val="single" w:sz="4" w:space="0" w:color="auto"/>
            </w:tcBorders>
            <w:vAlign w:val="center"/>
          </w:tcPr>
          <w:p w:rsidR="00FF6CCE" w:rsidRDefault="00FF6CCE" w:rsidP="00FF6CCE">
            <w:pPr>
              <w:ind w:leftChars="100" w:left="210"/>
              <w:jc w:val="left"/>
              <w:rPr>
                <w:rFonts w:ascii="宋体" w:hAnsi="宋体" w:cs="宋体"/>
                <w:sz w:val="22"/>
                <w:szCs w:val="22"/>
              </w:rPr>
            </w:pPr>
            <w:r>
              <w:rPr>
                <w:rFonts w:ascii="宋体" w:hAnsi="宋体" w:cs="宋体" w:hint="eastAsia"/>
                <w:sz w:val="22"/>
                <w:szCs w:val="22"/>
              </w:rPr>
              <w:t>地热技术</w:t>
            </w:r>
          </w:p>
        </w:tc>
        <w:tc>
          <w:tcPr>
            <w:tcW w:w="177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36,979</w:t>
            </w:r>
          </w:p>
        </w:tc>
        <w:tc>
          <w:tcPr>
            <w:tcW w:w="1600"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65,000</w:t>
            </w:r>
          </w:p>
        </w:tc>
        <w:tc>
          <w:tcPr>
            <w:tcW w:w="188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38,094</w:t>
            </w:r>
          </w:p>
        </w:tc>
        <w:tc>
          <w:tcPr>
            <w:tcW w:w="163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60,000</w:t>
            </w:r>
          </w:p>
        </w:tc>
      </w:tr>
      <w:tr w:rsidR="00FF6CCE" w:rsidTr="00FF6CCE">
        <w:trPr>
          <w:trHeight w:val="285"/>
        </w:trPr>
        <w:tc>
          <w:tcPr>
            <w:tcW w:w="2628" w:type="dxa"/>
            <w:tcBorders>
              <w:top w:val="nil"/>
              <w:left w:val="single" w:sz="4" w:space="0" w:color="auto"/>
              <w:bottom w:val="single" w:sz="4" w:space="0" w:color="auto"/>
              <w:right w:val="single" w:sz="4" w:space="0" w:color="auto"/>
            </w:tcBorders>
            <w:vAlign w:val="center"/>
          </w:tcPr>
          <w:p w:rsidR="00FF6CCE" w:rsidRDefault="00FF6CCE" w:rsidP="00FF6CCE">
            <w:pPr>
              <w:ind w:leftChars="100" w:left="210"/>
              <w:jc w:val="left"/>
              <w:rPr>
                <w:rFonts w:ascii="宋体" w:hAnsi="宋体" w:cs="宋体"/>
                <w:sz w:val="22"/>
                <w:szCs w:val="22"/>
              </w:rPr>
            </w:pPr>
            <w:r>
              <w:rPr>
                <w:rFonts w:ascii="宋体" w:hAnsi="宋体" w:cs="宋体" w:hint="eastAsia"/>
                <w:sz w:val="22"/>
                <w:szCs w:val="22"/>
              </w:rPr>
              <w:t>水能</w:t>
            </w:r>
          </w:p>
        </w:tc>
        <w:tc>
          <w:tcPr>
            <w:tcW w:w="177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58,076</w:t>
            </w:r>
          </w:p>
        </w:tc>
        <w:tc>
          <w:tcPr>
            <w:tcW w:w="1600"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20,000</w:t>
            </w:r>
          </w:p>
        </w:tc>
        <w:tc>
          <w:tcPr>
            <w:tcW w:w="188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59,147</w:t>
            </w:r>
          </w:p>
        </w:tc>
        <w:tc>
          <w:tcPr>
            <w:tcW w:w="163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55,000</w:t>
            </w:r>
          </w:p>
        </w:tc>
      </w:tr>
      <w:tr w:rsidR="00FF6CCE" w:rsidTr="00FF6CCE">
        <w:trPr>
          <w:trHeight w:val="285"/>
        </w:trPr>
        <w:tc>
          <w:tcPr>
            <w:tcW w:w="2628" w:type="dxa"/>
            <w:tcBorders>
              <w:top w:val="nil"/>
              <w:left w:val="single" w:sz="4" w:space="0" w:color="auto"/>
              <w:bottom w:val="single" w:sz="4" w:space="0" w:color="auto"/>
              <w:right w:val="single" w:sz="4" w:space="0" w:color="auto"/>
            </w:tcBorders>
            <w:vAlign w:val="center"/>
          </w:tcPr>
          <w:p w:rsidR="00FF6CCE" w:rsidRDefault="00FF6CCE" w:rsidP="00FF6CCE">
            <w:pPr>
              <w:jc w:val="left"/>
              <w:rPr>
                <w:rFonts w:ascii="宋体" w:hAnsi="宋体" w:cs="宋体"/>
                <w:b/>
                <w:bCs/>
                <w:sz w:val="22"/>
                <w:szCs w:val="22"/>
              </w:rPr>
            </w:pPr>
            <w:r>
              <w:rPr>
                <w:rFonts w:ascii="宋体" w:hAnsi="宋体" w:cs="宋体" w:hint="eastAsia"/>
                <w:b/>
                <w:bCs/>
                <w:sz w:val="22"/>
                <w:szCs w:val="22"/>
              </w:rPr>
              <w:t>企业</w:t>
            </w:r>
          </w:p>
        </w:tc>
        <w:tc>
          <w:tcPr>
            <w:tcW w:w="177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216,311</w:t>
            </w:r>
          </w:p>
        </w:tc>
        <w:tc>
          <w:tcPr>
            <w:tcW w:w="1600"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250,000</w:t>
            </w:r>
          </w:p>
        </w:tc>
        <w:tc>
          <w:tcPr>
            <w:tcW w:w="188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217,635</w:t>
            </w:r>
          </w:p>
        </w:tc>
        <w:tc>
          <w:tcPr>
            <w:tcW w:w="163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267,000</w:t>
            </w:r>
          </w:p>
        </w:tc>
      </w:tr>
      <w:tr w:rsidR="00FF6CCE" w:rsidTr="00FF6CCE">
        <w:trPr>
          <w:trHeight w:val="285"/>
        </w:trPr>
        <w:tc>
          <w:tcPr>
            <w:tcW w:w="2628" w:type="dxa"/>
            <w:tcBorders>
              <w:top w:val="nil"/>
              <w:left w:val="single" w:sz="4" w:space="0" w:color="auto"/>
              <w:bottom w:val="single" w:sz="4" w:space="0" w:color="auto"/>
              <w:right w:val="single" w:sz="4" w:space="0" w:color="auto"/>
            </w:tcBorders>
            <w:vAlign w:val="center"/>
          </w:tcPr>
          <w:p w:rsidR="00FF6CCE" w:rsidRDefault="00FF6CCE" w:rsidP="00FF6CCE">
            <w:pPr>
              <w:ind w:leftChars="100" w:left="210"/>
              <w:jc w:val="left"/>
              <w:rPr>
                <w:rFonts w:ascii="宋体" w:hAnsi="宋体" w:cs="宋体"/>
                <w:sz w:val="22"/>
                <w:szCs w:val="22"/>
              </w:rPr>
            </w:pPr>
            <w:r>
              <w:rPr>
                <w:rFonts w:ascii="宋体" w:hAnsi="宋体" w:cs="宋体" w:hint="eastAsia"/>
                <w:sz w:val="22"/>
                <w:szCs w:val="22"/>
              </w:rPr>
              <w:t>设备和设施</w:t>
            </w:r>
          </w:p>
        </w:tc>
        <w:tc>
          <w:tcPr>
            <w:tcW w:w="177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26,311</w:t>
            </w:r>
          </w:p>
        </w:tc>
        <w:tc>
          <w:tcPr>
            <w:tcW w:w="1600"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26,400</w:t>
            </w:r>
          </w:p>
        </w:tc>
        <w:tc>
          <w:tcPr>
            <w:tcW w:w="188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26,472</w:t>
            </w:r>
          </w:p>
        </w:tc>
        <w:tc>
          <w:tcPr>
            <w:tcW w:w="163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46,000</w:t>
            </w:r>
          </w:p>
        </w:tc>
      </w:tr>
      <w:tr w:rsidR="00FF6CCE" w:rsidTr="00FF6CCE">
        <w:trPr>
          <w:trHeight w:val="285"/>
        </w:trPr>
        <w:tc>
          <w:tcPr>
            <w:tcW w:w="2628" w:type="dxa"/>
            <w:tcBorders>
              <w:top w:val="nil"/>
              <w:left w:val="single" w:sz="4" w:space="0" w:color="auto"/>
              <w:bottom w:val="single" w:sz="4" w:space="0" w:color="auto"/>
              <w:right w:val="single" w:sz="4" w:space="0" w:color="auto"/>
            </w:tcBorders>
            <w:vAlign w:val="center"/>
          </w:tcPr>
          <w:p w:rsidR="00FF6CCE" w:rsidRDefault="00FF6CCE" w:rsidP="00FF6CCE">
            <w:pPr>
              <w:ind w:leftChars="100" w:left="210"/>
              <w:jc w:val="left"/>
              <w:rPr>
                <w:rFonts w:ascii="宋体" w:hAnsi="宋体" w:cs="宋体"/>
                <w:sz w:val="22"/>
                <w:szCs w:val="22"/>
              </w:rPr>
            </w:pPr>
            <w:r>
              <w:rPr>
                <w:rFonts w:ascii="宋体" w:hAnsi="宋体" w:cs="宋体" w:hint="eastAsia"/>
                <w:sz w:val="22"/>
                <w:szCs w:val="22"/>
              </w:rPr>
              <w:t>计划指导</w:t>
            </w:r>
          </w:p>
        </w:tc>
        <w:tc>
          <w:tcPr>
            <w:tcW w:w="177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165,000</w:t>
            </w:r>
          </w:p>
        </w:tc>
        <w:tc>
          <w:tcPr>
            <w:tcW w:w="1600"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164,700</w:t>
            </w:r>
          </w:p>
        </w:tc>
        <w:tc>
          <w:tcPr>
            <w:tcW w:w="188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166,010</w:t>
            </w:r>
          </w:p>
        </w:tc>
        <w:tc>
          <w:tcPr>
            <w:tcW w:w="163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185,000</w:t>
            </w:r>
          </w:p>
        </w:tc>
      </w:tr>
      <w:tr w:rsidR="00FF6CCE" w:rsidTr="00FF6CCE">
        <w:trPr>
          <w:trHeight w:val="229"/>
        </w:trPr>
        <w:tc>
          <w:tcPr>
            <w:tcW w:w="2628" w:type="dxa"/>
            <w:tcBorders>
              <w:top w:val="nil"/>
              <w:left w:val="single" w:sz="4" w:space="0" w:color="auto"/>
              <w:bottom w:val="single" w:sz="4" w:space="0" w:color="auto"/>
              <w:right w:val="single" w:sz="4" w:space="0" w:color="auto"/>
            </w:tcBorders>
            <w:vAlign w:val="center"/>
          </w:tcPr>
          <w:p w:rsidR="00FF6CCE" w:rsidRDefault="00FF6CCE" w:rsidP="00FF6CCE">
            <w:pPr>
              <w:ind w:leftChars="100" w:left="210"/>
              <w:jc w:val="left"/>
              <w:rPr>
                <w:rFonts w:ascii="宋体" w:hAnsi="宋体" w:cs="宋体" w:hint="eastAsia"/>
                <w:bCs/>
                <w:sz w:val="22"/>
                <w:szCs w:val="22"/>
              </w:rPr>
            </w:pPr>
            <w:r>
              <w:rPr>
                <w:rFonts w:ascii="宋体" w:hAnsi="宋体" w:cs="宋体" w:hint="eastAsia"/>
                <w:sz w:val="22"/>
                <w:szCs w:val="22"/>
              </w:rPr>
              <w:t>储能</w:t>
            </w:r>
          </w:p>
        </w:tc>
        <w:tc>
          <w:tcPr>
            <w:tcW w:w="177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25,000</w:t>
            </w:r>
          </w:p>
        </w:tc>
        <w:tc>
          <w:tcPr>
            <w:tcW w:w="1600"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58,900</w:t>
            </w:r>
          </w:p>
        </w:tc>
        <w:tc>
          <w:tcPr>
            <w:tcW w:w="188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25,153</w:t>
            </w:r>
          </w:p>
        </w:tc>
        <w:tc>
          <w:tcPr>
            <w:tcW w:w="163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sz w:val="22"/>
                <w:szCs w:val="22"/>
              </w:rPr>
            </w:pPr>
            <w:r>
              <w:rPr>
                <w:rFonts w:ascii="宋体" w:hAnsi="宋体" w:cs="宋体" w:hint="eastAsia"/>
                <w:sz w:val="22"/>
                <w:szCs w:val="22"/>
              </w:rPr>
              <w:t>36,000</w:t>
            </w:r>
          </w:p>
        </w:tc>
      </w:tr>
      <w:tr w:rsidR="00FF6CCE" w:rsidTr="00FF6CCE">
        <w:trPr>
          <w:trHeight w:val="285"/>
        </w:trPr>
        <w:tc>
          <w:tcPr>
            <w:tcW w:w="2628" w:type="dxa"/>
            <w:tcBorders>
              <w:top w:val="nil"/>
              <w:left w:val="single" w:sz="4" w:space="0" w:color="auto"/>
              <w:bottom w:val="single" w:sz="4" w:space="0" w:color="auto"/>
              <w:right w:val="single" w:sz="4" w:space="0" w:color="auto"/>
            </w:tcBorders>
            <w:vAlign w:val="center"/>
          </w:tcPr>
          <w:p w:rsidR="00FF6CCE" w:rsidRDefault="00FF6CCE" w:rsidP="00FF6CCE">
            <w:pPr>
              <w:jc w:val="left"/>
              <w:rPr>
                <w:rFonts w:ascii="宋体" w:hAnsi="宋体" w:cs="宋体" w:hint="eastAsia"/>
                <w:b/>
                <w:sz w:val="22"/>
                <w:szCs w:val="22"/>
              </w:rPr>
            </w:pPr>
            <w:r>
              <w:rPr>
                <w:rFonts w:ascii="宋体" w:hAnsi="宋体" w:cs="宋体" w:hint="eastAsia"/>
                <w:b/>
                <w:sz w:val="22"/>
                <w:szCs w:val="22"/>
              </w:rPr>
              <w:t>能源效率和可再生</w:t>
            </w:r>
          </w:p>
          <w:p w:rsidR="00FF6CCE" w:rsidRDefault="00FF6CCE" w:rsidP="00FF6CCE">
            <w:pPr>
              <w:jc w:val="left"/>
              <w:rPr>
                <w:rFonts w:ascii="宋体" w:hAnsi="宋体" w:cs="宋体"/>
                <w:b/>
                <w:bCs/>
                <w:sz w:val="22"/>
                <w:szCs w:val="22"/>
              </w:rPr>
            </w:pPr>
            <w:r>
              <w:rPr>
                <w:rFonts w:ascii="宋体" w:hAnsi="宋体" w:cs="宋体" w:hint="eastAsia"/>
                <w:b/>
                <w:sz w:val="22"/>
                <w:szCs w:val="22"/>
              </w:rPr>
              <w:t>资源</w:t>
            </w:r>
            <w:r>
              <w:rPr>
                <w:rFonts w:ascii="宋体" w:hAnsi="宋体" w:cs="宋体" w:hint="eastAsia"/>
                <w:b/>
                <w:bCs/>
                <w:sz w:val="22"/>
                <w:szCs w:val="22"/>
              </w:rPr>
              <w:t>前年结余</w:t>
            </w:r>
          </w:p>
        </w:tc>
        <w:tc>
          <w:tcPr>
            <w:tcW w:w="177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1,790,457</w:t>
            </w:r>
          </w:p>
        </w:tc>
        <w:tc>
          <w:tcPr>
            <w:tcW w:w="1600"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2,337,000</w:t>
            </w:r>
          </w:p>
        </w:tc>
        <w:tc>
          <w:tcPr>
            <w:tcW w:w="188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1,830,683</w:t>
            </w:r>
          </w:p>
        </w:tc>
        <w:tc>
          <w:tcPr>
            <w:tcW w:w="1639" w:type="dxa"/>
            <w:tcBorders>
              <w:top w:val="nil"/>
              <w:left w:val="nil"/>
              <w:bottom w:val="single" w:sz="4" w:space="0" w:color="auto"/>
              <w:right w:val="single" w:sz="4" w:space="0" w:color="auto"/>
            </w:tcBorders>
            <w:vAlign w:val="center"/>
          </w:tcPr>
          <w:p w:rsidR="00FF6CCE" w:rsidRDefault="00FF6CCE" w:rsidP="00FF6CCE">
            <w:pPr>
              <w:ind w:firstLine="476"/>
              <w:jc w:val="right"/>
              <w:rPr>
                <w:rFonts w:ascii="宋体" w:hAnsi="宋体" w:cs="宋体"/>
                <w:b/>
                <w:bCs/>
                <w:sz w:val="22"/>
                <w:szCs w:val="22"/>
              </w:rPr>
            </w:pPr>
            <w:r>
              <w:rPr>
                <w:rFonts w:hint="eastAsia"/>
                <w:b/>
                <w:bCs/>
                <w:sz w:val="22"/>
                <w:szCs w:val="22"/>
              </w:rPr>
              <w:t>2,337,000</w:t>
            </w:r>
          </w:p>
        </w:tc>
      </w:tr>
      <w:tr w:rsidR="00FF6CCE" w:rsidTr="00FF6CCE">
        <w:trPr>
          <w:trHeight w:val="540"/>
        </w:trPr>
        <w:tc>
          <w:tcPr>
            <w:tcW w:w="2628" w:type="dxa"/>
            <w:tcBorders>
              <w:top w:val="nil"/>
              <w:left w:val="single" w:sz="4" w:space="0" w:color="auto"/>
              <w:bottom w:val="single" w:sz="4" w:space="0" w:color="auto"/>
              <w:right w:val="single" w:sz="4" w:space="0" w:color="auto"/>
            </w:tcBorders>
            <w:vAlign w:val="center"/>
          </w:tcPr>
          <w:p w:rsidR="00FF6CCE" w:rsidRDefault="00FF6CCE" w:rsidP="00FF6CCE">
            <w:pPr>
              <w:jc w:val="left"/>
              <w:rPr>
                <w:rFonts w:ascii="宋体" w:hAnsi="宋体" w:cs="宋体" w:hint="eastAsia"/>
                <w:b/>
                <w:bCs/>
                <w:sz w:val="22"/>
                <w:szCs w:val="22"/>
              </w:rPr>
            </w:pPr>
            <w:r>
              <w:rPr>
                <w:rFonts w:ascii="宋体" w:hAnsi="宋体" w:cs="宋体" w:hint="eastAsia"/>
                <w:b/>
                <w:bCs/>
                <w:sz w:val="22"/>
                <w:szCs w:val="22"/>
              </w:rPr>
              <w:t>以前年度扣除</w:t>
            </w:r>
          </w:p>
        </w:tc>
        <w:tc>
          <w:tcPr>
            <w:tcW w:w="177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-9,909</w:t>
            </w:r>
          </w:p>
        </w:tc>
        <w:tc>
          <w:tcPr>
            <w:tcW w:w="1600"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-69,667</w:t>
            </w:r>
          </w:p>
        </w:tc>
        <w:tc>
          <w:tcPr>
            <w:tcW w:w="188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-9,970</w:t>
            </w:r>
          </w:p>
        </w:tc>
        <w:tc>
          <w:tcPr>
            <w:tcW w:w="1639" w:type="dxa"/>
            <w:tcBorders>
              <w:top w:val="nil"/>
              <w:left w:val="nil"/>
              <w:bottom w:val="single" w:sz="4" w:space="0" w:color="auto"/>
              <w:right w:val="single" w:sz="4" w:space="0" w:color="auto"/>
            </w:tcBorders>
            <w:vAlign w:val="center"/>
          </w:tcPr>
          <w:p w:rsidR="00FF6CCE" w:rsidRDefault="00FF6CCE" w:rsidP="00FF6CCE">
            <w:pPr>
              <w:ind w:firstLine="476"/>
              <w:jc w:val="right"/>
              <w:rPr>
                <w:rFonts w:ascii="宋体" w:hAnsi="宋体" w:cs="宋体"/>
                <w:b/>
                <w:bCs/>
                <w:sz w:val="22"/>
                <w:szCs w:val="22"/>
              </w:rPr>
            </w:pPr>
            <w:r>
              <w:rPr>
                <w:rFonts w:hint="eastAsia"/>
                <w:b/>
                <w:bCs/>
                <w:sz w:val="22"/>
                <w:szCs w:val="22"/>
              </w:rPr>
              <w:t>-69,667</w:t>
            </w:r>
          </w:p>
        </w:tc>
      </w:tr>
      <w:tr w:rsidR="00FF6CCE" w:rsidTr="00FF6CCE">
        <w:trPr>
          <w:trHeight w:val="285"/>
        </w:trPr>
        <w:tc>
          <w:tcPr>
            <w:tcW w:w="2628" w:type="dxa"/>
            <w:tcBorders>
              <w:top w:val="nil"/>
              <w:left w:val="single" w:sz="4" w:space="0" w:color="auto"/>
              <w:bottom w:val="single" w:sz="4" w:space="0" w:color="auto"/>
              <w:right w:val="single" w:sz="4" w:space="0" w:color="auto"/>
            </w:tcBorders>
            <w:vAlign w:val="center"/>
          </w:tcPr>
          <w:p w:rsidR="00FF6CCE" w:rsidRDefault="00FF6CCE" w:rsidP="00FF6CCE">
            <w:pPr>
              <w:rPr>
                <w:rFonts w:ascii="宋体" w:hAnsi="宋体" w:cs="宋体" w:hint="eastAsia"/>
                <w:b/>
                <w:bCs/>
                <w:sz w:val="22"/>
                <w:szCs w:val="22"/>
              </w:rPr>
            </w:pPr>
            <w:r>
              <w:rPr>
                <w:rFonts w:ascii="宋体" w:hAnsi="宋体" w:cs="宋体" w:hint="eastAsia"/>
                <w:b/>
                <w:bCs/>
                <w:sz w:val="22"/>
                <w:szCs w:val="22"/>
              </w:rPr>
              <w:t>能源效率和</w:t>
            </w:r>
          </w:p>
          <w:p w:rsidR="00FF6CCE" w:rsidRDefault="00FF6CCE" w:rsidP="00FF6CCE">
            <w:pPr>
              <w:rPr>
                <w:rFonts w:ascii="宋体" w:hAnsi="宋体" w:cs="宋体"/>
                <w:sz w:val="22"/>
                <w:szCs w:val="22"/>
              </w:rPr>
            </w:pPr>
            <w:r>
              <w:rPr>
                <w:rFonts w:ascii="宋体" w:hAnsi="宋体" w:cs="宋体" w:hint="eastAsia"/>
                <w:b/>
                <w:bCs/>
                <w:sz w:val="22"/>
                <w:szCs w:val="22"/>
              </w:rPr>
              <w:t>可再生资源总和</w:t>
            </w:r>
          </w:p>
        </w:tc>
        <w:tc>
          <w:tcPr>
            <w:tcW w:w="177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1,780,548</w:t>
            </w:r>
          </w:p>
        </w:tc>
        <w:tc>
          <w:tcPr>
            <w:tcW w:w="1600"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2,267,333</w:t>
            </w:r>
          </w:p>
        </w:tc>
        <w:tc>
          <w:tcPr>
            <w:tcW w:w="1889" w:type="dxa"/>
            <w:tcBorders>
              <w:top w:val="nil"/>
              <w:left w:val="nil"/>
              <w:bottom w:val="single" w:sz="4" w:space="0" w:color="auto"/>
              <w:right w:val="single" w:sz="4" w:space="0" w:color="auto"/>
            </w:tcBorders>
            <w:vAlign w:val="center"/>
          </w:tcPr>
          <w:p w:rsidR="00FF6CCE" w:rsidRDefault="00FF6CCE" w:rsidP="00FF6CCE">
            <w:pPr>
              <w:jc w:val="right"/>
              <w:rPr>
                <w:rFonts w:ascii="宋体" w:hAnsi="宋体" w:cs="宋体"/>
                <w:b/>
                <w:bCs/>
                <w:sz w:val="22"/>
                <w:szCs w:val="22"/>
              </w:rPr>
            </w:pPr>
            <w:r>
              <w:rPr>
                <w:rFonts w:ascii="宋体" w:hAnsi="宋体" w:cs="宋体" w:hint="eastAsia"/>
                <w:b/>
                <w:bCs/>
                <w:sz w:val="22"/>
                <w:szCs w:val="22"/>
              </w:rPr>
              <w:t>1,820,713</w:t>
            </w:r>
          </w:p>
        </w:tc>
        <w:tc>
          <w:tcPr>
            <w:tcW w:w="1639" w:type="dxa"/>
            <w:tcBorders>
              <w:top w:val="nil"/>
              <w:left w:val="nil"/>
              <w:bottom w:val="single" w:sz="4" w:space="0" w:color="auto"/>
              <w:right w:val="single" w:sz="4" w:space="0" w:color="auto"/>
            </w:tcBorders>
            <w:vAlign w:val="center"/>
          </w:tcPr>
          <w:p w:rsidR="00FF6CCE" w:rsidRDefault="00FF6CCE" w:rsidP="00FF6CCE">
            <w:pPr>
              <w:ind w:firstLine="476"/>
              <w:jc w:val="right"/>
              <w:rPr>
                <w:rFonts w:ascii="宋体" w:hAnsi="宋体" w:cs="宋体"/>
                <w:b/>
                <w:bCs/>
                <w:sz w:val="22"/>
                <w:szCs w:val="22"/>
              </w:rPr>
            </w:pPr>
            <w:r>
              <w:rPr>
                <w:rFonts w:hint="eastAsia"/>
                <w:b/>
                <w:bCs/>
                <w:sz w:val="22"/>
                <w:szCs w:val="22"/>
              </w:rPr>
              <w:t>2,267,333</w:t>
            </w:r>
          </w:p>
        </w:tc>
      </w:tr>
    </w:tbl>
    <w:p w:rsidR="00FF6CCE" w:rsidRDefault="00FF6CCE" w:rsidP="00FF6CCE">
      <w:pPr>
        <w:pStyle w:val="a2"/>
        <w:ind w:left="840"/>
        <w:rPr>
          <w:rFonts w:hint="eastAsia"/>
        </w:rPr>
      </w:pPr>
      <w:r>
        <w:rPr>
          <w:rFonts w:hint="eastAsia"/>
        </w:rPr>
        <w:t>（资料来源：美国能源部</w:t>
      </w:r>
      <w:r>
        <w:rPr>
          <w:rFonts w:hint="eastAsia"/>
        </w:rPr>
        <w:t>2013</w:t>
      </w:r>
      <w:r>
        <w:rPr>
          <w:rFonts w:hint="eastAsia"/>
        </w:rPr>
        <w:t>年。）</w:t>
      </w:r>
    </w:p>
    <w:p w:rsidR="00FF6CCE" w:rsidRDefault="00FF6CCE" w:rsidP="00FF6CCE">
      <w:pPr>
        <w:autoSpaceDE w:val="0"/>
        <w:autoSpaceDN w:val="0"/>
        <w:adjustRightInd w:val="0"/>
        <w:spacing w:after="240"/>
        <w:ind w:firstLine="480"/>
        <w:rPr>
          <w:rFonts w:cs="宋体" w:hint="eastAsia"/>
        </w:rPr>
      </w:pPr>
    </w:p>
    <w:p w:rsidR="00FF6CCE" w:rsidRDefault="00FF6CCE" w:rsidP="00FF6CCE">
      <w:pPr>
        <w:autoSpaceDE w:val="0"/>
        <w:autoSpaceDN w:val="0"/>
        <w:adjustRightInd w:val="0"/>
        <w:spacing w:after="240"/>
        <w:ind w:firstLine="480"/>
        <w:rPr>
          <w:rFonts w:cs="宋体" w:hint="eastAsia"/>
        </w:rPr>
      </w:pPr>
      <w:r>
        <w:rPr>
          <w:rFonts w:cs="宋体" w:hint="eastAsia"/>
        </w:rPr>
        <w:t>美国能源部拥有一系列旨在研发和示范连续统一体所处的不同阶段扶持清洁能源的计划，具体如图</w:t>
      </w:r>
      <w:r>
        <w:t>12</w:t>
      </w:r>
      <w:r>
        <w:rPr>
          <w:rFonts w:cs="宋体" w:hint="eastAsia"/>
        </w:rPr>
        <w:t>所示。</w:t>
      </w:r>
      <w:r>
        <w:t xml:space="preserve"> </w:t>
      </w:r>
      <w:r>
        <w:rPr>
          <w:rFonts w:cs="宋体" w:hint="eastAsia"/>
        </w:rPr>
        <w:t>该等计划中有些是因</w:t>
      </w:r>
      <w:r>
        <w:t xml:space="preserve"> ARRA </w:t>
      </w:r>
      <w:r>
        <w:rPr>
          <w:rFonts w:cs="宋体" w:hint="eastAsia"/>
        </w:rPr>
        <w:t>而新规划的，包括先进研究项目机构</w:t>
      </w:r>
      <w:r>
        <w:t>-</w:t>
      </w:r>
      <w:r>
        <w:rPr>
          <w:rFonts w:cs="宋体" w:hint="eastAsia"/>
        </w:rPr>
        <w:t>能源（</w:t>
      </w:r>
      <w:r>
        <w:t>ARPA-E</w:t>
      </w:r>
      <w:r>
        <w:rPr>
          <w:rFonts w:cs="宋体" w:hint="eastAsia"/>
        </w:rPr>
        <w:t>）、能源创新中心、能源前沿研究中心、以及</w:t>
      </w:r>
      <w:r>
        <w:t>1705</w:t>
      </w:r>
      <w:r>
        <w:rPr>
          <w:rFonts w:cs="宋体" w:hint="eastAsia"/>
        </w:rPr>
        <w:t>项项目下得到贷款担保计划（效仿先前的贷款担保计划），尽管有些计划已经存在了几十年，包括大多数国家实验室。其它由美国能源部的技术计划发起的积极措施，如”射日”计划及美国的下一代顶尖能源创新者计划，均为近期的开发活动，两项计划均为</w:t>
      </w:r>
      <w:r>
        <w:t>2011</w:t>
      </w:r>
      <w:r>
        <w:rPr>
          <w:rFonts w:cs="宋体" w:hint="eastAsia"/>
        </w:rPr>
        <w:t>年年初规划的。</w:t>
      </w:r>
    </w:p>
    <w:p w:rsidR="00FF6CCE" w:rsidRDefault="00FF6CCE" w:rsidP="00FF6CCE">
      <w:pPr>
        <w:autoSpaceDE w:val="0"/>
        <w:autoSpaceDN w:val="0"/>
        <w:adjustRightInd w:val="0"/>
        <w:spacing w:after="240"/>
        <w:jc w:val="center"/>
        <w:rPr>
          <w:rFonts w:cs="宋体" w:hint="eastAsia"/>
        </w:rPr>
      </w:pPr>
      <w:r>
        <w:rPr>
          <w:noProof/>
          <w:lang w:eastAsia="en-US"/>
        </w:rPr>
        <w:drawing>
          <wp:inline distT="0" distB="0" distL="0" distR="0">
            <wp:extent cx="5570855" cy="2869565"/>
            <wp:effectExtent l="0" t="0" r="0" b="635"/>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0855" cy="2869565"/>
                    </a:xfrm>
                    <a:prstGeom prst="rect">
                      <a:avLst/>
                    </a:prstGeom>
                    <a:noFill/>
                    <a:ln>
                      <a:noFill/>
                    </a:ln>
                  </pic:spPr>
                </pic:pic>
              </a:graphicData>
            </a:graphic>
          </wp:inline>
        </w:drawing>
      </w:r>
    </w:p>
    <w:p w:rsidR="00FF6CCE" w:rsidRDefault="00FF6CCE" w:rsidP="00FF6CCE">
      <w:pPr>
        <w:pStyle w:val="a3"/>
        <w:numPr>
          <w:ilvl w:val="0"/>
          <w:numId w:val="11"/>
        </w:numPr>
        <w:tabs>
          <w:tab w:val="left" w:pos="1928"/>
        </w:tabs>
        <w:ind w:left="900" w:hanging="480"/>
      </w:pPr>
      <w:bookmarkStart w:id="269" w:name="_Toc392513092"/>
      <w:r>
        <w:rPr>
          <w:rFonts w:cs="宋体" w:hint="eastAsia"/>
        </w:rPr>
        <w:t>美国能源部的计划在不同技术阶段和风险水平时所起的作用图示</w:t>
      </w:r>
      <w:bookmarkEnd w:id="269"/>
    </w:p>
    <w:p w:rsidR="00FF6CCE" w:rsidRDefault="00FF6CCE" w:rsidP="00FF6CCE">
      <w:pPr>
        <w:pStyle w:val="a2"/>
        <w:ind w:left="840"/>
        <w:rPr>
          <w:rFonts w:hint="eastAsia"/>
        </w:rPr>
      </w:pPr>
      <w:r>
        <w:rPr>
          <w:rFonts w:hint="eastAsia"/>
        </w:rPr>
        <w:t>（资料来源</w:t>
      </w:r>
      <w:r>
        <w:t xml:space="preserve">: </w:t>
      </w:r>
      <w:r>
        <w:rPr>
          <w:rFonts w:hint="eastAsia"/>
        </w:rPr>
        <w:t>根据</w:t>
      </w:r>
      <w:r>
        <w:rPr>
          <w:rFonts w:hint="eastAsia"/>
        </w:rPr>
        <w:t>Cohn2011</w:t>
      </w:r>
      <w:r>
        <w:rPr>
          <w:rFonts w:hint="eastAsia"/>
        </w:rPr>
        <w:t>改编）</w:t>
      </w:r>
    </w:p>
    <w:p w:rsidR="00FF6CCE" w:rsidRDefault="00FF6CCE" w:rsidP="00FF6CCE">
      <w:pPr>
        <w:ind w:firstLine="480"/>
      </w:pPr>
      <w:r>
        <w:rPr>
          <w:rFonts w:hint="eastAsia"/>
        </w:rPr>
        <w:t xml:space="preserve">ARRA </w:t>
      </w:r>
      <w:r>
        <w:rPr>
          <w:rFonts w:hint="eastAsia"/>
        </w:rPr>
        <w:t>扶持的多数新计划是在奥巴马政府第一任的能源部长史蒂文朱</w:t>
      </w:r>
      <w:r>
        <w:rPr>
          <w:rFonts w:hint="eastAsia"/>
        </w:rPr>
        <w:t>(2009</w:t>
      </w:r>
      <w:r>
        <w:rPr>
          <w:rFonts w:hint="eastAsia"/>
        </w:rPr>
        <w:t>年</w:t>
      </w:r>
      <w:r>
        <w:rPr>
          <w:rFonts w:hint="eastAsia"/>
        </w:rPr>
        <w:t>1</w:t>
      </w:r>
      <w:r>
        <w:rPr>
          <w:rFonts w:hint="eastAsia"/>
        </w:rPr>
        <w:t>月</w:t>
      </w:r>
      <w:r>
        <w:rPr>
          <w:rFonts w:hint="eastAsia"/>
        </w:rPr>
        <w:t>21</w:t>
      </w:r>
      <w:r>
        <w:rPr>
          <w:rFonts w:hint="eastAsia"/>
        </w:rPr>
        <w:t>日至</w:t>
      </w:r>
      <w:r>
        <w:rPr>
          <w:rFonts w:hint="eastAsia"/>
        </w:rPr>
        <w:t>2013</w:t>
      </w:r>
      <w:r>
        <w:rPr>
          <w:rFonts w:hint="eastAsia"/>
        </w:rPr>
        <w:t>年</w:t>
      </w:r>
      <w:r>
        <w:rPr>
          <w:rFonts w:hint="eastAsia"/>
        </w:rPr>
        <w:t>4</w:t>
      </w:r>
      <w:r>
        <w:rPr>
          <w:rFonts w:hint="eastAsia"/>
        </w:rPr>
        <w:t>月</w:t>
      </w:r>
      <w:r>
        <w:rPr>
          <w:rFonts w:hint="eastAsia"/>
        </w:rPr>
        <w:t>22</w:t>
      </w:r>
      <w:r>
        <w:rPr>
          <w:rFonts w:hint="eastAsia"/>
        </w:rPr>
        <w:t>日担任</w:t>
      </w:r>
      <w:r>
        <w:rPr>
          <w:rFonts w:hint="eastAsia"/>
        </w:rPr>
        <w:t>)</w:t>
      </w:r>
      <w:r>
        <w:rPr>
          <w:rFonts w:hint="eastAsia"/>
        </w:rPr>
        <w:t>的领导下制订的。</w:t>
      </w:r>
      <w:r>
        <w:rPr>
          <w:rFonts w:hint="eastAsia"/>
        </w:rPr>
        <w:t xml:space="preserve"> </w:t>
      </w:r>
      <w:r>
        <w:rPr>
          <w:rFonts w:hint="eastAsia"/>
        </w:rPr>
        <w:t>在那段时间内，美国能源部制订了若干项关注清洁能源研发和示范的新计划，在很大程度上归功于朱部长的学术背景及对该领域的兴趣。在担任能源部长前，朱运营着拥有范围广阔的环境能源技术部门的劳伦斯伯克利国家实验室。而且朱最近的学术研究是建立在他物理学专业基础上的清洁能源和气候变化解决方案。</w:t>
      </w:r>
      <w:r>
        <w:rPr>
          <w:rFonts w:hint="eastAsia"/>
        </w:rPr>
        <w:t xml:space="preserve"> </w:t>
      </w:r>
      <w:r>
        <w:rPr>
          <w:rFonts w:hint="eastAsia"/>
        </w:rPr>
        <w:t>同样，</w:t>
      </w:r>
      <w:r>
        <w:rPr>
          <w:rFonts w:hint="eastAsia"/>
        </w:rPr>
        <w:t>2013</w:t>
      </w:r>
      <w:r>
        <w:rPr>
          <w:rFonts w:hint="eastAsia"/>
        </w:rPr>
        <w:t>年获得任命确认的能源部长</w:t>
      </w:r>
      <w:r>
        <w:rPr>
          <w:rFonts w:hint="eastAsia"/>
        </w:rPr>
        <w:t xml:space="preserve"> Ernest Moniz </w:t>
      </w:r>
      <w:r>
        <w:rPr>
          <w:rFonts w:hint="eastAsia"/>
        </w:rPr>
        <w:t>也从其物理学研究转向担任麻省理工学院跨专业研究机构的创始人。他对清洁的和可替代的能源技术研究的兴趣很可能会继续强化由朱部长发起的美国能源部清洁能源创新计划。尽管朱部长在其任期前即与美国能源部的国家实验室有着广泛的合作，</w:t>
      </w:r>
      <w:r>
        <w:rPr>
          <w:rFonts w:hint="eastAsia"/>
        </w:rPr>
        <w:t xml:space="preserve">Moniz </w:t>
      </w:r>
      <w:r>
        <w:rPr>
          <w:rFonts w:hint="eastAsia"/>
        </w:rPr>
        <w:t>部长与国家顶尖能源研究大学的联系将有助于进一步构筑美国能源部与学术机构之间的合作。</w:t>
      </w:r>
    </w:p>
    <w:p w:rsidR="00FF6CCE" w:rsidRDefault="00FF6CCE" w:rsidP="00FF6CCE">
      <w:pPr>
        <w:pStyle w:val="Heading2"/>
      </w:pPr>
      <w:bookmarkStart w:id="270" w:name="_Toc28373"/>
      <w:bookmarkStart w:id="271" w:name="_Toc9852"/>
      <w:bookmarkStart w:id="272" w:name="_Toc392057055"/>
      <w:bookmarkStart w:id="273" w:name="_Toc392513029"/>
      <w:bookmarkStart w:id="274" w:name="_GoBack"/>
      <w:bookmarkEnd w:id="274"/>
      <w:r>
        <w:rPr>
          <w:rFonts w:hint="eastAsia"/>
        </w:rPr>
        <w:t>国家实验室</w:t>
      </w:r>
      <w:bookmarkEnd w:id="270"/>
      <w:bookmarkEnd w:id="271"/>
      <w:bookmarkEnd w:id="272"/>
      <w:bookmarkEnd w:id="273"/>
    </w:p>
    <w:p w:rsidR="00FF6CCE" w:rsidRDefault="00FF6CCE" w:rsidP="00FF6CCE">
      <w:pPr>
        <w:ind w:firstLine="480"/>
      </w:pPr>
      <w:r>
        <w:rPr>
          <w:rFonts w:hint="eastAsia"/>
        </w:rPr>
        <w:t>从事清洁能源技术研究的美国能源部所属的国家实验室有若干，包括劳伦斯伯克利国家实验室、国家能源技术实验室、劳伦斯利佛摩尔国家实验室、橡树脊国家实验室、及太平洋西北国家实验室等。国家可再生能源实验室是唯一一家专注于清洁能源的实验室，尤其关注可再生能源和能源效率。国家实验室的基础设施最初是二战期间扶持核武器研究。自</w:t>
      </w:r>
      <w:r>
        <w:t>1940</w:t>
      </w:r>
      <w:r>
        <w:rPr>
          <w:rFonts w:hint="eastAsia"/>
        </w:rPr>
        <w:t>年代末以来，它们的研究重点扩大到了包括与能源有关的更广泛的范围。</w:t>
      </w:r>
    </w:p>
    <w:p w:rsidR="00FF6CCE" w:rsidRDefault="00FF6CCE" w:rsidP="00FF6CCE">
      <w:pPr>
        <w:pStyle w:val="Heading3"/>
        <w:numPr>
          <w:ilvl w:val="2"/>
          <w:numId w:val="1"/>
        </w:numPr>
        <w:tabs>
          <w:tab w:val="clear" w:pos="720"/>
        </w:tabs>
      </w:pPr>
      <w:bookmarkStart w:id="275" w:name="_Toc7538"/>
      <w:bookmarkStart w:id="276" w:name="_Toc4580"/>
      <w:bookmarkStart w:id="277" w:name="_Toc392057056"/>
      <w:bookmarkStart w:id="278" w:name="_Toc392513030"/>
      <w:r>
        <w:rPr>
          <w:rFonts w:hint="eastAsia"/>
        </w:rPr>
        <w:t>国家可再生能源实验室</w:t>
      </w:r>
      <w:bookmarkEnd w:id="275"/>
      <w:bookmarkEnd w:id="276"/>
      <w:bookmarkEnd w:id="277"/>
      <w:bookmarkEnd w:id="278"/>
    </w:p>
    <w:p w:rsidR="00FF6CCE" w:rsidRDefault="00FF6CCE" w:rsidP="00FF6CCE">
      <w:pPr>
        <w:ind w:firstLine="480"/>
        <w:rPr>
          <w:rFonts w:cs="宋体"/>
        </w:rPr>
      </w:pPr>
      <w:r>
        <w:t>1973</w:t>
      </w:r>
      <w:r>
        <w:rPr>
          <w:rFonts w:cs="宋体" w:hint="eastAsia"/>
        </w:rPr>
        <w:t>年美国石油供应因阿拉伯石油禁运而中断时，美国政府的各个部门实施了一系列的旨在促进可再生能源和提高的全国能源效率的计划。作为国家可再生能源实验室的先驱，太阳能能源研究院就是这样的一个计划。太阳能能源研究院于</w:t>
      </w:r>
      <w:r>
        <w:t>1974</w:t>
      </w:r>
      <w:r>
        <w:rPr>
          <w:rFonts w:cs="宋体" w:hint="eastAsia"/>
        </w:rPr>
        <w:t>年建立，目前的</w:t>
      </w:r>
      <w:r>
        <w:t xml:space="preserve"> NREL </w:t>
      </w:r>
      <w:r>
        <w:rPr>
          <w:rFonts w:cs="宋体" w:hint="eastAsia"/>
        </w:rPr>
        <w:t>是于</w:t>
      </w:r>
      <w:r>
        <w:t>1991</w:t>
      </w:r>
      <w:r>
        <w:rPr>
          <w:rFonts w:cs="宋体" w:hint="eastAsia"/>
        </w:rPr>
        <w:t>年作为国家实验室建立的。今天，</w:t>
      </w:r>
      <w:r>
        <w:t>NREL</w:t>
      </w:r>
      <w:r>
        <w:rPr>
          <w:rFonts w:cs="宋体" w:hint="eastAsia"/>
        </w:rPr>
        <w:t>在开展能源研发和示范时还从事所有范围的活动，从基础科学研究到市场分析和系统集成，还有试验和验证。</w:t>
      </w:r>
      <w:r>
        <w:t xml:space="preserve">NREL </w:t>
      </w:r>
      <w:r>
        <w:rPr>
          <w:rFonts w:cs="宋体" w:hint="eastAsia"/>
        </w:rPr>
        <w:t>与其它研究机构及私营产业保持紧密合作关系。</w:t>
      </w:r>
      <w:r>
        <w:t xml:space="preserve">NREL </w:t>
      </w:r>
      <w:r>
        <w:rPr>
          <w:rFonts w:cs="宋体" w:hint="eastAsia"/>
        </w:rPr>
        <w:t>在基础科学、生物质能、地热、氢能、太阳能、水利项目、风能、建筑、电气基础设施、及汽车和燃料技术等领域的创新、以及旨在培育商业化和推广方面的情况详见</w:t>
      </w:r>
      <w:r>
        <w:t xml:space="preserve"> NREL </w:t>
      </w:r>
      <w:r>
        <w:rPr>
          <w:rFonts w:cs="宋体" w:hint="eastAsia"/>
        </w:rPr>
        <w:t>网址</w:t>
      </w:r>
      <w:r>
        <w:t xml:space="preserve"> </w:t>
      </w:r>
      <w:hyperlink r:id="rId66" w:history="1">
        <w:r>
          <w:rPr>
            <w:rStyle w:val="Hyperlink"/>
          </w:rPr>
          <w:t>http://www.nrel.gov/innovation</w:t>
        </w:r>
      </w:hyperlink>
      <w:r>
        <w:t>.</w:t>
      </w:r>
      <w:r>
        <w:rPr>
          <w:rFonts w:hint="eastAsia"/>
        </w:rPr>
        <w:t xml:space="preserve"> </w:t>
      </w:r>
    </w:p>
    <w:p w:rsidR="00FF6CCE" w:rsidRDefault="00FF6CCE" w:rsidP="00FF6CCE">
      <w:pPr>
        <w:ind w:firstLine="480"/>
      </w:pPr>
      <w:r>
        <w:rPr>
          <w:noProof/>
          <w:lang w:eastAsia="en-US"/>
        </w:rPr>
        <w:drawing>
          <wp:inline distT="0" distB="0" distL="0" distR="0">
            <wp:extent cx="5177155" cy="3122930"/>
            <wp:effectExtent l="0" t="0" r="4445" b="1270"/>
            <wp:docPr id="48" name="Picture 25"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77155" cy="3122930"/>
                    </a:xfrm>
                    <a:prstGeom prst="rect">
                      <a:avLst/>
                    </a:prstGeom>
                    <a:noFill/>
                    <a:ln>
                      <a:noFill/>
                    </a:ln>
                  </pic:spPr>
                </pic:pic>
              </a:graphicData>
            </a:graphic>
          </wp:inline>
        </w:drawing>
      </w:r>
    </w:p>
    <w:p w:rsidR="00FF6CCE" w:rsidRDefault="00FF6CCE" w:rsidP="00FF6CCE">
      <w:pPr>
        <w:pStyle w:val="a3"/>
        <w:numPr>
          <w:ilvl w:val="0"/>
          <w:numId w:val="11"/>
        </w:numPr>
        <w:tabs>
          <w:tab w:val="left" w:pos="0"/>
        </w:tabs>
        <w:ind w:left="900" w:hanging="480"/>
      </w:pPr>
      <w:bookmarkStart w:id="279" w:name="_Toc392513093"/>
      <w:r>
        <w:t>NREL</w:t>
      </w:r>
      <w:r>
        <w:rPr>
          <w:rFonts w:cs="宋体" w:hint="eastAsia"/>
        </w:rPr>
        <w:t>的资金和职员</w:t>
      </w:r>
      <w:bookmarkEnd w:id="279"/>
    </w:p>
    <w:p w:rsidR="00FF6CCE" w:rsidRDefault="00FF6CCE" w:rsidP="00FF6CCE">
      <w:pPr>
        <w:pStyle w:val="a2"/>
        <w:ind w:left="840"/>
        <w:rPr>
          <w:rFonts w:hint="eastAsia"/>
        </w:rPr>
      </w:pPr>
      <w:r>
        <w:rPr>
          <w:rFonts w:hint="eastAsia"/>
        </w:rPr>
        <w:t>（资料来源</w:t>
      </w:r>
      <w:r>
        <w:t xml:space="preserve">: Ron Benioff (NREL) in </w:t>
      </w:r>
      <w:r>
        <w:fldChar w:fldCharType="begin"/>
      </w:r>
      <w:r>
        <w:instrText xml:space="preserve"> ADDIN ZOTERO_ITEM CSL_CITATION {"citationID":"e9ilSDyc","properties":{"formattedCitation":"(Rask, Tawney, and Fang 2011)","plainCitation":"(Rask, Tawney, and Fang 2011)"},"citationItems":[{"id":4789,"uris":["http://zotero.org/users/454657/items/KPII2BPT"],"uri":["http://zotero.org/users/454657/items/KPII2BPT"],"itemData":{"id":4789,"type":"report","title":"Feasibility Study for the establishment of a Chinese Renewable Energy Centre, Survey on US RE Centres: Case Study of NREL","publisher":"China-Denmark Renewable Energy Development (RED) Programme","publisher-place":"Beijing, China","event-place":"Beijing, China","author":[{"family":"Rask","given":"Pia Yasuko"},{"family":"Tawney","given":"Letha"},{"family":"Fang","given":"Lu"}],"issued":{"date-parts":[["2011",3,18]]}}}],"schema":"https://github.com/citation-style-language/schema/raw/master/csl-citation.json"} </w:instrText>
      </w:r>
      <w:r>
        <w:fldChar w:fldCharType="separate"/>
      </w:r>
      <w:r>
        <w:t>Rask, Tawney, and Fang 2011.</w:t>
      </w:r>
      <w:r>
        <w:fldChar w:fldCharType="end"/>
      </w:r>
      <w:r>
        <w:rPr>
          <w:rFonts w:hint="eastAsia"/>
        </w:rPr>
        <w:t>）</w:t>
      </w:r>
    </w:p>
    <w:p w:rsidR="00FF6CCE" w:rsidRDefault="00FF6CCE" w:rsidP="00FF6CCE">
      <w:pPr>
        <w:ind w:firstLine="480"/>
      </w:pPr>
      <w:r>
        <w:t xml:space="preserve">NREL </w:t>
      </w:r>
      <w:r>
        <w:rPr>
          <w:rFonts w:hint="eastAsia"/>
        </w:rPr>
        <w:t>的总预算额和职员人数在</w:t>
      </w:r>
      <w:r>
        <w:t>2009</w:t>
      </w:r>
      <w:r>
        <w:rPr>
          <w:rFonts w:hint="eastAsia"/>
        </w:rPr>
        <w:t>年受</w:t>
      </w:r>
      <w:r>
        <w:t xml:space="preserve"> ARRP </w:t>
      </w:r>
      <w:r>
        <w:rPr>
          <w:rFonts w:hint="eastAsia"/>
        </w:rPr>
        <w:t>的扶持而急剧增加，而</w:t>
      </w:r>
      <w:r>
        <w:t>2010</w:t>
      </w:r>
      <w:r>
        <w:rPr>
          <w:rFonts w:hint="eastAsia"/>
        </w:rPr>
        <w:t>年则减少很多。</w:t>
      </w:r>
      <w:r>
        <w:t xml:space="preserve"> </w:t>
      </w:r>
      <w:r>
        <w:rPr>
          <w:rFonts w:hint="eastAsia"/>
        </w:rPr>
        <w:t>自</w:t>
      </w:r>
      <w:r>
        <w:t>2010</w:t>
      </w:r>
      <w:r>
        <w:rPr>
          <w:rFonts w:hint="eastAsia"/>
        </w:rPr>
        <w:t>年以来，</w:t>
      </w:r>
      <w:r>
        <w:t xml:space="preserve"> NREL </w:t>
      </w:r>
      <w:r>
        <w:rPr>
          <w:rFonts w:hint="eastAsia"/>
        </w:rPr>
        <w:t>的预算从未接近</w:t>
      </w:r>
      <w:r>
        <w:t>2009</w:t>
      </w:r>
      <w:r>
        <w:rPr>
          <w:rFonts w:hint="eastAsia"/>
        </w:rPr>
        <w:t>年的水平，致使很多职员和研究计划被裁员和削减。</w:t>
      </w:r>
    </w:p>
    <w:p w:rsidR="00FF6CCE" w:rsidRDefault="00FF6CCE" w:rsidP="00FF6CCE">
      <w:pPr>
        <w:pStyle w:val="Heading2"/>
      </w:pPr>
      <w:bookmarkStart w:id="280" w:name="_Toc20575"/>
      <w:bookmarkStart w:id="281" w:name="_Toc13250"/>
      <w:bookmarkStart w:id="282" w:name="_Toc392057057"/>
      <w:bookmarkStart w:id="283" w:name="_Toc392513031"/>
      <w:r>
        <w:rPr>
          <w:rFonts w:hint="eastAsia"/>
        </w:rPr>
        <w:t>美国能源部的新计划</w:t>
      </w:r>
      <w:bookmarkEnd w:id="280"/>
      <w:bookmarkEnd w:id="281"/>
      <w:bookmarkEnd w:id="282"/>
      <w:bookmarkEnd w:id="283"/>
    </w:p>
    <w:p w:rsidR="00FF6CCE" w:rsidRDefault="00FF6CCE" w:rsidP="00FF6CCE">
      <w:pPr>
        <w:ind w:firstLine="480"/>
      </w:pPr>
      <w:r>
        <w:rPr>
          <w:rFonts w:hint="eastAsia"/>
        </w:rPr>
        <w:t>如前所述，</w:t>
      </w:r>
      <w:r>
        <w:t xml:space="preserve">ARRA </w:t>
      </w:r>
      <w:r>
        <w:rPr>
          <w:rFonts w:hint="eastAsia"/>
        </w:rPr>
        <w:t>资金扶持的结果是产生了若干项新的能源创新计划，包括“先进研究项目机构</w:t>
      </w:r>
      <w:r>
        <w:t>-</w:t>
      </w:r>
      <w:r>
        <w:rPr>
          <w:rFonts w:hint="eastAsia"/>
        </w:rPr>
        <w:t>能源（</w:t>
      </w:r>
      <w:r>
        <w:t>ARRA-E</w:t>
      </w:r>
      <w:r>
        <w:rPr>
          <w:rFonts w:hint="eastAsia"/>
        </w:rPr>
        <w:t>）</w:t>
      </w:r>
      <w:r>
        <w:t xml:space="preserve">, </w:t>
      </w:r>
      <w:r>
        <w:rPr>
          <w:rFonts w:hint="eastAsia"/>
        </w:rPr>
        <w:t>能源创新中心、能源研究中心、及</w:t>
      </w:r>
      <w:r>
        <w:t>1705</w:t>
      </w:r>
      <w:r>
        <w:rPr>
          <w:rFonts w:hint="eastAsia"/>
        </w:rPr>
        <w:t>贷款担保计划。本章回顾该等计划，以及其它两项</w:t>
      </w:r>
      <w:r>
        <w:t>2011</w:t>
      </w:r>
      <w:r>
        <w:rPr>
          <w:rFonts w:hint="eastAsia"/>
        </w:rPr>
        <w:t>年制订的新的规模小但水准高的计划，即</w:t>
      </w:r>
      <w:r>
        <w:t xml:space="preserve"> </w:t>
      </w:r>
      <w:r>
        <w:rPr>
          <w:rFonts w:hint="eastAsia"/>
        </w:rPr>
        <w:t>“射日”计划和美国下一代顶尖能源创新者计划。</w:t>
      </w:r>
    </w:p>
    <w:p w:rsidR="00FF6CCE" w:rsidRDefault="00FF6CCE" w:rsidP="00FF6CCE">
      <w:pPr>
        <w:pStyle w:val="Heading3"/>
        <w:numPr>
          <w:ilvl w:val="2"/>
          <w:numId w:val="1"/>
        </w:numPr>
        <w:tabs>
          <w:tab w:val="clear" w:pos="720"/>
        </w:tabs>
      </w:pPr>
      <w:bookmarkStart w:id="284" w:name="_Toc18297"/>
      <w:bookmarkStart w:id="285" w:name="_Toc25177"/>
      <w:bookmarkStart w:id="286" w:name="_Toc392057058"/>
      <w:bookmarkStart w:id="287" w:name="_Toc392513032"/>
      <w:r>
        <w:t>ARPA-E.</w:t>
      </w:r>
      <w:bookmarkEnd w:id="284"/>
      <w:bookmarkEnd w:id="285"/>
      <w:bookmarkEnd w:id="286"/>
      <w:bookmarkEnd w:id="287"/>
    </w:p>
    <w:p w:rsidR="00FF6CCE" w:rsidRDefault="00FF6CCE" w:rsidP="00FF6CCE">
      <w:pPr>
        <w:autoSpaceDE w:val="0"/>
        <w:autoSpaceDN w:val="0"/>
        <w:adjustRightInd w:val="0"/>
        <w:spacing w:after="240"/>
        <w:ind w:firstLine="480"/>
      </w:pPr>
      <w:r>
        <w:t>“</w:t>
      </w:r>
      <w:r>
        <w:rPr>
          <w:rFonts w:cs="宋体" w:hint="eastAsia"/>
        </w:rPr>
        <w:t>先进研究项目机构</w:t>
      </w:r>
      <w:r>
        <w:t>-</w:t>
      </w:r>
      <w:r>
        <w:rPr>
          <w:rFonts w:cs="宋体" w:hint="eastAsia"/>
        </w:rPr>
        <w:t>能源”（</w:t>
      </w:r>
      <w:r>
        <w:t>ARPA-E</w:t>
      </w:r>
      <w:r>
        <w:rPr>
          <w:rFonts w:cs="宋体" w:hint="eastAsia"/>
        </w:rPr>
        <w:t>）旨在重点推动处于早期阶段的高风险和高回报的技术研究。</w:t>
      </w:r>
      <w:r>
        <w:t xml:space="preserve"> ARPA-E</w:t>
      </w:r>
      <w:r>
        <w:rPr>
          <w:rFonts w:cs="宋体" w:hint="eastAsia"/>
        </w:rPr>
        <w:t>向那些因在早期投资有高风险而无法获得私营投资的项目提供资金。但是，因这些技术潜在的回报非常高，该等技术的目标是获得公共财政扶持，期望填补基础能源研发和工业应用创新之间的空白。尽管这类投资很可能无法获得回报，</w:t>
      </w:r>
      <w:r>
        <w:t xml:space="preserve">ARPA-E </w:t>
      </w:r>
      <w:r>
        <w:rPr>
          <w:rFonts w:cs="宋体" w:hint="eastAsia"/>
        </w:rPr>
        <w:t>标定的创新活动是具有“潜在的能够根本地改善美国经济繁荣、国家安全、和环境优良”性质的。</w:t>
      </w:r>
      <w:r>
        <w:t>ARPA-E</w:t>
      </w:r>
      <w:r>
        <w:rPr>
          <w:rFonts w:cs="宋体" w:hint="eastAsia"/>
        </w:rPr>
        <w:t>“技术加速”日程计划见图</w:t>
      </w:r>
      <w:r>
        <w:t>14.</w:t>
      </w:r>
    </w:p>
    <w:p w:rsidR="00FF6CCE" w:rsidRDefault="00FF6CCE" w:rsidP="00FF6CCE">
      <w:pPr>
        <w:ind w:firstLine="480"/>
        <w:rPr>
          <w:rFonts w:hint="eastAsia"/>
          <w:lang w:val="en-US" w:eastAsia="en-US"/>
        </w:rPr>
      </w:pPr>
      <w:r>
        <w:rPr>
          <w:noProof/>
          <w:lang w:eastAsia="en-US"/>
        </w:rPr>
        <w:drawing>
          <wp:inline distT="0" distB="0" distL="0" distR="0">
            <wp:extent cx="4515485" cy="3136900"/>
            <wp:effectExtent l="0" t="0" r="5715" b="12700"/>
            <wp:docPr id="49" name="Picture 26"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15485" cy="3136900"/>
                    </a:xfrm>
                    <a:prstGeom prst="rect">
                      <a:avLst/>
                    </a:prstGeom>
                    <a:noFill/>
                    <a:ln>
                      <a:noFill/>
                    </a:ln>
                  </pic:spPr>
                </pic:pic>
              </a:graphicData>
            </a:graphic>
          </wp:inline>
        </w:drawing>
      </w:r>
    </w:p>
    <w:p w:rsidR="00FF6CCE" w:rsidRDefault="00FF6CCE" w:rsidP="00FF6CCE">
      <w:pPr>
        <w:pStyle w:val="a3"/>
        <w:numPr>
          <w:ilvl w:val="0"/>
          <w:numId w:val="11"/>
        </w:numPr>
        <w:tabs>
          <w:tab w:val="left" w:pos="1928"/>
        </w:tabs>
        <w:ind w:left="900" w:hanging="480"/>
      </w:pPr>
      <w:bookmarkStart w:id="288" w:name="_Toc21380"/>
      <w:bookmarkStart w:id="289" w:name="_Toc392513094"/>
      <w:r>
        <w:t xml:space="preserve">ARPA-E </w:t>
      </w:r>
      <w:r>
        <w:rPr>
          <w:rFonts w:cs="宋体" w:hint="eastAsia"/>
        </w:rPr>
        <w:t>的技术加速方法</w:t>
      </w:r>
      <w:bookmarkEnd w:id="288"/>
      <w:bookmarkEnd w:id="289"/>
    </w:p>
    <w:p w:rsidR="00FF6CCE" w:rsidRDefault="00FF6CCE" w:rsidP="00FF6CCE">
      <w:pPr>
        <w:ind w:firstLine="480"/>
        <w:rPr>
          <w:rFonts w:hint="eastAsia"/>
        </w:rPr>
      </w:pPr>
      <w:r>
        <w:t xml:space="preserve">ARPA-E </w:t>
      </w:r>
      <w:r>
        <w:rPr>
          <w:rFonts w:hint="eastAsia"/>
        </w:rPr>
        <w:t>项目是根据</w:t>
      </w:r>
      <w:r>
        <w:t>2007</w:t>
      </w:r>
      <w:r>
        <w:rPr>
          <w:rFonts w:hint="eastAsia"/>
        </w:rPr>
        <w:t>年通过的美国竞争法案设立，但是在</w:t>
      </w:r>
      <w:r>
        <w:t>2009</w:t>
      </w:r>
      <w:r>
        <w:rPr>
          <w:rFonts w:hint="eastAsia"/>
        </w:rPr>
        <w:t>年由</w:t>
      </w:r>
      <w:r>
        <w:t xml:space="preserve">ARRA </w:t>
      </w:r>
      <w:r>
        <w:rPr>
          <w:rFonts w:hint="eastAsia"/>
        </w:rPr>
        <w:t>资助的。</w:t>
      </w:r>
      <w:r>
        <w:t xml:space="preserve"> </w:t>
      </w:r>
      <w:r>
        <w:rPr>
          <w:rFonts w:hint="eastAsia"/>
        </w:rPr>
        <w:t>该项目直接基于美国国防部自</w:t>
      </w:r>
      <w:r>
        <w:t>1950</w:t>
      </w:r>
      <w:r>
        <w:rPr>
          <w:rFonts w:hint="eastAsia"/>
        </w:rPr>
        <w:t>年代开始开发的</w:t>
      </w:r>
      <w:r>
        <w:t xml:space="preserve"> DARPA </w:t>
      </w:r>
      <w:r>
        <w:rPr>
          <w:rFonts w:hint="eastAsia"/>
        </w:rPr>
        <w:t>计划，但具有某些能源领域的特殊要求；他们主要只提供资助，不进行研究。</w:t>
      </w:r>
      <w:r>
        <w:t xml:space="preserve"> </w:t>
      </w:r>
      <w:r>
        <w:rPr>
          <w:rFonts w:hint="eastAsia"/>
        </w:rPr>
        <w:t>其战略目的是建立一个对持续性地获得美国国会的资金拨款具有重要意义的扶持圈。</w:t>
      </w:r>
      <w:r>
        <w:t xml:space="preserve"> </w:t>
      </w:r>
      <w:r>
        <w:rPr>
          <w:rFonts w:hint="eastAsia"/>
        </w:rPr>
        <w:t>实际上，</w:t>
      </w:r>
      <w:r>
        <w:t xml:space="preserve">ARPA-E </w:t>
      </w:r>
      <w:r>
        <w:rPr>
          <w:rFonts w:hint="eastAsia"/>
        </w:rPr>
        <w:t>也实施其扶持的创新活动，例如，通过与美国能源部及私营领域合作，扮演</w:t>
      </w:r>
      <w:r>
        <w:t xml:space="preserve"> ARPA-E</w:t>
      </w:r>
      <w:r>
        <w:rPr>
          <w:rFonts w:hint="eastAsia"/>
        </w:rPr>
        <w:t>技术的早期使用方的角色。</w:t>
      </w:r>
      <w:r>
        <w:t>2012</w:t>
      </w:r>
      <w:r>
        <w:rPr>
          <w:rFonts w:hint="eastAsia"/>
        </w:rPr>
        <w:t>年</w:t>
      </w:r>
      <w:r>
        <w:t>ARPA-E</w:t>
      </w:r>
      <w:r>
        <w:rPr>
          <w:rFonts w:hint="eastAsia"/>
        </w:rPr>
        <w:t>的总预算是</w:t>
      </w:r>
      <w:r>
        <w:t>2.53</w:t>
      </w:r>
      <w:r>
        <w:rPr>
          <w:rFonts w:hint="eastAsia"/>
        </w:rPr>
        <w:t>亿美元，而为</w:t>
      </w:r>
      <w:r>
        <w:t>2014</w:t>
      </w:r>
      <w:r>
        <w:rPr>
          <w:rFonts w:hint="eastAsia"/>
        </w:rPr>
        <w:t>财政年度提出的预算额是</w:t>
      </w:r>
      <w:r>
        <w:t xml:space="preserve"> 3.45</w:t>
      </w:r>
      <w:r>
        <w:rPr>
          <w:rFonts w:hint="eastAsia"/>
        </w:rPr>
        <w:t>亿美元。</w:t>
      </w:r>
    </w:p>
    <w:p w:rsidR="00FF6CCE" w:rsidRDefault="00FF6CCE" w:rsidP="00FF6CCE">
      <w:pPr>
        <w:ind w:firstLine="480"/>
        <w:rPr>
          <w:rFonts w:hint="eastAsia"/>
        </w:rPr>
      </w:pPr>
    </w:p>
    <w:p w:rsidR="00FF6CCE" w:rsidRDefault="00FF6CCE" w:rsidP="00FF6CCE">
      <w:pPr>
        <w:ind w:firstLine="480"/>
        <w:rPr>
          <w:rFonts w:hint="eastAsia"/>
        </w:rPr>
      </w:pPr>
    </w:p>
    <w:p w:rsidR="00FF6CCE" w:rsidRDefault="00FF6CCE" w:rsidP="00FF6CCE">
      <w:pPr>
        <w:ind w:firstLine="480"/>
        <w:rPr>
          <w:rFonts w:hint="eastAsia"/>
        </w:rPr>
      </w:pPr>
    </w:p>
    <w:p w:rsidR="00FF6CCE" w:rsidRDefault="00FF6CCE" w:rsidP="00FF6CCE">
      <w:pPr>
        <w:ind w:firstLine="480"/>
      </w:pPr>
    </w:p>
    <w:p w:rsidR="00FF6CCE" w:rsidRDefault="00FF6CCE" w:rsidP="00FF6CCE">
      <w:pPr>
        <w:pStyle w:val="a"/>
        <w:numPr>
          <w:ilvl w:val="0"/>
          <w:numId w:val="10"/>
        </w:numPr>
        <w:tabs>
          <w:tab w:val="clear" w:pos="0"/>
        </w:tabs>
      </w:pPr>
      <w:bookmarkStart w:id="290" w:name="_Toc392513103"/>
      <w:r>
        <w:rPr>
          <w:rFonts w:hint="eastAsia"/>
        </w:rPr>
        <w:t>能源部先进计划研究局预算</w:t>
      </w:r>
      <w:bookmarkEnd w:id="290"/>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6"/>
        <w:gridCol w:w="1935"/>
        <w:gridCol w:w="2595"/>
      </w:tblGrid>
      <w:tr w:rsidR="00FF6CCE" w:rsidTr="00FF6CCE">
        <w:trPr>
          <w:trHeight w:val="235"/>
        </w:trPr>
        <w:tc>
          <w:tcPr>
            <w:tcW w:w="4866" w:type="dxa"/>
            <w:vMerge w:val="restart"/>
          </w:tcPr>
          <w:p w:rsidR="00FF6CCE" w:rsidRDefault="00FF6CCE" w:rsidP="00FF6CCE">
            <w:pPr>
              <w:jc w:val="center"/>
              <w:rPr>
                <w:rFonts w:ascii="宋体" w:hAnsi="宋体"/>
                <w:szCs w:val="24"/>
              </w:rPr>
            </w:pPr>
            <w:r>
              <w:rPr>
                <w:rFonts w:ascii="宋体" w:hAnsi="宋体"/>
                <w:szCs w:val="24"/>
              </w:rPr>
              <w:t> </w:t>
            </w:r>
          </w:p>
        </w:tc>
        <w:tc>
          <w:tcPr>
            <w:tcW w:w="1935" w:type="dxa"/>
          </w:tcPr>
          <w:p w:rsidR="00FF6CCE" w:rsidRDefault="00FF6CCE" w:rsidP="00FF6CCE">
            <w:pPr>
              <w:jc w:val="center"/>
              <w:rPr>
                <w:rFonts w:ascii="宋体" w:hAnsi="宋体"/>
                <w:szCs w:val="24"/>
              </w:rPr>
            </w:pPr>
            <w:r>
              <w:rPr>
                <w:rFonts w:ascii="宋体" w:hAnsi="宋体"/>
                <w:szCs w:val="24"/>
              </w:rPr>
              <w:t>2012</w:t>
            </w:r>
            <w:r>
              <w:rPr>
                <w:rFonts w:ascii="宋体" w:hAnsi="宋体" w:hint="eastAsia"/>
                <w:szCs w:val="24"/>
              </w:rPr>
              <w:t>仅供参考</w:t>
            </w:r>
          </w:p>
        </w:tc>
        <w:tc>
          <w:tcPr>
            <w:tcW w:w="2595" w:type="dxa"/>
          </w:tcPr>
          <w:p w:rsidR="00FF6CCE" w:rsidRDefault="00FF6CCE" w:rsidP="00FF6CCE">
            <w:pPr>
              <w:jc w:val="center"/>
              <w:rPr>
                <w:rFonts w:ascii="宋体" w:hAnsi="宋体"/>
                <w:szCs w:val="24"/>
              </w:rPr>
            </w:pPr>
            <w:r>
              <w:rPr>
                <w:rFonts w:ascii="宋体" w:hAnsi="宋体"/>
                <w:szCs w:val="24"/>
              </w:rPr>
              <w:t xml:space="preserve"> 2014</w:t>
            </w:r>
            <w:r>
              <w:rPr>
                <w:rFonts w:ascii="宋体" w:hAnsi="宋体" w:hint="eastAsia"/>
                <w:szCs w:val="24"/>
              </w:rPr>
              <w:t>财年</w:t>
            </w:r>
            <w:r>
              <w:rPr>
                <w:rFonts w:ascii="宋体" w:hAnsi="宋体"/>
                <w:szCs w:val="24"/>
              </w:rPr>
              <w:t xml:space="preserve"> (</w:t>
            </w:r>
            <w:r>
              <w:rPr>
                <w:rFonts w:ascii="宋体" w:hAnsi="宋体" w:hint="eastAsia"/>
                <w:szCs w:val="24"/>
              </w:rPr>
              <w:t>要求</w:t>
            </w:r>
            <w:r>
              <w:rPr>
                <w:rFonts w:ascii="宋体" w:hAnsi="宋体"/>
                <w:szCs w:val="24"/>
              </w:rPr>
              <w:t>)</w:t>
            </w:r>
          </w:p>
        </w:tc>
      </w:tr>
      <w:tr w:rsidR="00FF6CCE" w:rsidTr="00FF6CCE">
        <w:trPr>
          <w:trHeight w:val="235"/>
        </w:trPr>
        <w:tc>
          <w:tcPr>
            <w:tcW w:w="4866" w:type="dxa"/>
            <w:vMerge/>
          </w:tcPr>
          <w:p w:rsidR="00FF6CCE" w:rsidRDefault="00FF6CCE" w:rsidP="00FF6CCE">
            <w:pPr>
              <w:jc w:val="center"/>
              <w:rPr>
                <w:rFonts w:ascii="宋体" w:hAnsi="宋体"/>
                <w:szCs w:val="24"/>
              </w:rPr>
            </w:pPr>
          </w:p>
        </w:tc>
        <w:tc>
          <w:tcPr>
            <w:tcW w:w="1935" w:type="dxa"/>
          </w:tcPr>
          <w:p w:rsidR="00FF6CCE" w:rsidRDefault="00FF6CCE" w:rsidP="00FF6CCE">
            <w:pPr>
              <w:jc w:val="center"/>
              <w:rPr>
                <w:rFonts w:ascii="宋体" w:hAnsi="宋体"/>
                <w:szCs w:val="24"/>
              </w:rPr>
            </w:pPr>
            <w:r>
              <w:rPr>
                <w:rFonts w:ascii="宋体" w:hAnsi="宋体"/>
                <w:szCs w:val="24"/>
              </w:rPr>
              <w:t>(</w:t>
            </w:r>
            <w:r>
              <w:rPr>
                <w:rFonts w:ascii="宋体" w:hAnsi="宋体" w:hint="eastAsia"/>
                <w:szCs w:val="24"/>
              </w:rPr>
              <w:t>千美元</w:t>
            </w:r>
            <w:r>
              <w:rPr>
                <w:rFonts w:ascii="宋体" w:hAnsi="宋体"/>
                <w:szCs w:val="24"/>
              </w:rPr>
              <w:t>)</w:t>
            </w:r>
          </w:p>
        </w:tc>
        <w:tc>
          <w:tcPr>
            <w:tcW w:w="2595" w:type="dxa"/>
          </w:tcPr>
          <w:p w:rsidR="00FF6CCE" w:rsidRDefault="00FF6CCE" w:rsidP="00FF6CCE">
            <w:pPr>
              <w:jc w:val="center"/>
              <w:rPr>
                <w:rFonts w:ascii="宋体" w:hAnsi="宋体"/>
                <w:szCs w:val="24"/>
              </w:rPr>
            </w:pPr>
            <w:r>
              <w:rPr>
                <w:rFonts w:ascii="宋体" w:hAnsi="宋体"/>
                <w:szCs w:val="24"/>
              </w:rPr>
              <w:t>(</w:t>
            </w:r>
            <w:r>
              <w:rPr>
                <w:rFonts w:ascii="宋体" w:hAnsi="宋体" w:hint="eastAsia"/>
                <w:szCs w:val="24"/>
              </w:rPr>
              <w:t>千美元</w:t>
            </w:r>
            <w:r>
              <w:rPr>
                <w:rFonts w:ascii="宋体" w:hAnsi="宋体"/>
                <w:szCs w:val="24"/>
              </w:rPr>
              <w:t>)</w:t>
            </w:r>
          </w:p>
        </w:tc>
      </w:tr>
      <w:tr w:rsidR="00FF6CCE" w:rsidTr="00FF6CCE">
        <w:trPr>
          <w:trHeight w:val="235"/>
        </w:trPr>
        <w:tc>
          <w:tcPr>
            <w:tcW w:w="4866" w:type="dxa"/>
          </w:tcPr>
          <w:p w:rsidR="00FF6CCE" w:rsidRDefault="00FF6CCE" w:rsidP="00FF6CCE">
            <w:pPr>
              <w:jc w:val="center"/>
              <w:rPr>
                <w:rFonts w:ascii="宋体" w:hAnsi="宋体"/>
                <w:szCs w:val="24"/>
              </w:rPr>
            </w:pPr>
            <w:r>
              <w:rPr>
                <w:rFonts w:ascii="宋体" w:hAnsi="宋体" w:hint="eastAsia"/>
                <w:szCs w:val="24"/>
              </w:rPr>
              <w:t>总计</w:t>
            </w:r>
          </w:p>
        </w:tc>
        <w:tc>
          <w:tcPr>
            <w:tcW w:w="1935" w:type="dxa"/>
          </w:tcPr>
          <w:p w:rsidR="00FF6CCE" w:rsidRDefault="00FF6CCE" w:rsidP="00FF6CCE">
            <w:pPr>
              <w:jc w:val="center"/>
              <w:rPr>
                <w:rFonts w:ascii="宋体" w:hAnsi="宋体"/>
                <w:szCs w:val="24"/>
              </w:rPr>
            </w:pPr>
            <w:r>
              <w:rPr>
                <w:rFonts w:ascii="宋体" w:hAnsi="宋体"/>
                <w:szCs w:val="24"/>
              </w:rPr>
              <w:t xml:space="preserve">$253,000 </w:t>
            </w:r>
          </w:p>
        </w:tc>
        <w:tc>
          <w:tcPr>
            <w:tcW w:w="2595" w:type="dxa"/>
          </w:tcPr>
          <w:p w:rsidR="00FF6CCE" w:rsidRDefault="00FF6CCE" w:rsidP="00FF6CCE">
            <w:pPr>
              <w:jc w:val="center"/>
              <w:rPr>
                <w:rFonts w:ascii="宋体" w:hAnsi="宋体"/>
                <w:szCs w:val="24"/>
              </w:rPr>
            </w:pPr>
            <w:r>
              <w:rPr>
                <w:rFonts w:ascii="宋体" w:hAnsi="宋体"/>
                <w:szCs w:val="24"/>
              </w:rPr>
              <w:t xml:space="preserve">$344,890 </w:t>
            </w:r>
          </w:p>
        </w:tc>
      </w:tr>
      <w:tr w:rsidR="00FF6CCE" w:rsidTr="00FF6CCE">
        <w:trPr>
          <w:trHeight w:val="235"/>
        </w:trPr>
        <w:tc>
          <w:tcPr>
            <w:tcW w:w="4866" w:type="dxa"/>
          </w:tcPr>
          <w:p w:rsidR="00FF6CCE" w:rsidRDefault="00FF6CCE" w:rsidP="00FF6CCE">
            <w:pPr>
              <w:jc w:val="center"/>
              <w:rPr>
                <w:rFonts w:ascii="宋体" w:hAnsi="宋体" w:hint="eastAsia"/>
                <w:szCs w:val="24"/>
              </w:rPr>
            </w:pPr>
            <w:r>
              <w:rPr>
                <w:rFonts w:ascii="宋体" w:hAnsi="宋体" w:hint="eastAsia"/>
                <w:szCs w:val="24"/>
              </w:rPr>
              <w:t>交通系统项目</w:t>
            </w:r>
          </w:p>
          <w:p w:rsidR="00FF6CCE" w:rsidRDefault="00FF6CCE" w:rsidP="00FF6CCE">
            <w:pPr>
              <w:jc w:val="center"/>
              <w:rPr>
                <w:rFonts w:ascii="宋体" w:hAnsi="宋体"/>
                <w:szCs w:val="24"/>
              </w:rPr>
            </w:pPr>
            <w:r>
              <w:rPr>
                <w:rFonts w:ascii="宋体" w:hAnsi="宋体"/>
                <w:szCs w:val="24"/>
              </w:rPr>
              <w:t>(</w:t>
            </w:r>
            <w:r>
              <w:rPr>
                <w:rFonts w:ascii="宋体" w:hAnsi="宋体" w:hint="eastAsia"/>
                <w:szCs w:val="24"/>
              </w:rPr>
              <w:t>电能</w:t>
            </w:r>
            <w:r>
              <w:rPr>
                <w:rFonts w:ascii="宋体" w:hAnsi="宋体"/>
                <w:szCs w:val="24"/>
              </w:rPr>
              <w:t xml:space="preserve">, </w:t>
            </w:r>
            <w:r>
              <w:rPr>
                <w:rFonts w:ascii="宋体" w:hAnsi="宋体" w:hint="eastAsia"/>
                <w:szCs w:val="24"/>
              </w:rPr>
              <w:t>生物能</w:t>
            </w:r>
            <w:r>
              <w:rPr>
                <w:rFonts w:ascii="宋体" w:hAnsi="宋体"/>
                <w:szCs w:val="24"/>
              </w:rPr>
              <w:t>,</w:t>
            </w:r>
            <w:r>
              <w:rPr>
                <w:rFonts w:ascii="宋体" w:hAnsi="宋体" w:hint="eastAsia"/>
                <w:szCs w:val="24"/>
              </w:rPr>
              <w:t>电动汽车</w:t>
            </w:r>
            <w:r>
              <w:rPr>
                <w:rFonts w:ascii="宋体" w:hAnsi="宋体"/>
                <w:szCs w:val="24"/>
              </w:rPr>
              <w:t>,</w:t>
            </w:r>
            <w:r>
              <w:rPr>
                <w:rFonts w:ascii="宋体" w:hAnsi="宋体" w:hint="eastAsia"/>
                <w:szCs w:val="24"/>
              </w:rPr>
              <w:t>液化气</w:t>
            </w:r>
            <w:r>
              <w:rPr>
                <w:rFonts w:ascii="宋体" w:hAnsi="宋体"/>
                <w:szCs w:val="24"/>
              </w:rPr>
              <w:t>)</w:t>
            </w:r>
          </w:p>
        </w:tc>
        <w:tc>
          <w:tcPr>
            <w:tcW w:w="1935" w:type="dxa"/>
          </w:tcPr>
          <w:p w:rsidR="00FF6CCE" w:rsidRDefault="00FF6CCE" w:rsidP="00FF6CCE">
            <w:pPr>
              <w:jc w:val="center"/>
              <w:rPr>
                <w:rFonts w:ascii="宋体" w:hAnsi="宋体"/>
                <w:szCs w:val="24"/>
              </w:rPr>
            </w:pPr>
            <w:r>
              <w:rPr>
                <w:rFonts w:ascii="宋体" w:hAnsi="宋体"/>
                <w:szCs w:val="24"/>
              </w:rPr>
              <w:t xml:space="preserve">$138,250 </w:t>
            </w:r>
          </w:p>
        </w:tc>
        <w:tc>
          <w:tcPr>
            <w:tcW w:w="2595" w:type="dxa"/>
          </w:tcPr>
          <w:p w:rsidR="00FF6CCE" w:rsidRDefault="00FF6CCE" w:rsidP="00FF6CCE">
            <w:pPr>
              <w:jc w:val="center"/>
              <w:rPr>
                <w:rFonts w:ascii="宋体" w:hAnsi="宋体"/>
                <w:szCs w:val="24"/>
              </w:rPr>
            </w:pPr>
            <w:r>
              <w:rPr>
                <w:rFonts w:ascii="宋体" w:hAnsi="宋体"/>
                <w:szCs w:val="24"/>
              </w:rPr>
              <w:t xml:space="preserve">$196,587 </w:t>
            </w:r>
          </w:p>
        </w:tc>
      </w:tr>
      <w:tr w:rsidR="00FF6CCE" w:rsidTr="00FF6CCE">
        <w:trPr>
          <w:trHeight w:val="235"/>
        </w:trPr>
        <w:tc>
          <w:tcPr>
            <w:tcW w:w="4866" w:type="dxa"/>
          </w:tcPr>
          <w:p w:rsidR="00FF6CCE" w:rsidRDefault="00FF6CCE" w:rsidP="00FF6CCE">
            <w:pPr>
              <w:jc w:val="center"/>
              <w:rPr>
                <w:rFonts w:ascii="宋体" w:hAnsi="宋体" w:hint="eastAsia"/>
                <w:szCs w:val="24"/>
              </w:rPr>
            </w:pPr>
            <w:r>
              <w:rPr>
                <w:rFonts w:ascii="宋体" w:hAnsi="宋体" w:hint="eastAsia"/>
                <w:szCs w:val="24"/>
              </w:rPr>
              <w:t>固定电源系统</w:t>
            </w:r>
          </w:p>
          <w:p w:rsidR="00FF6CCE" w:rsidRDefault="00FF6CCE" w:rsidP="00FF6CCE">
            <w:pPr>
              <w:jc w:val="center"/>
              <w:rPr>
                <w:rFonts w:ascii="宋体" w:hAnsi="宋体"/>
                <w:szCs w:val="24"/>
              </w:rPr>
            </w:pPr>
            <w:r>
              <w:rPr>
                <w:rFonts w:ascii="宋体" w:hAnsi="宋体"/>
                <w:szCs w:val="24"/>
              </w:rPr>
              <w:t xml:space="preserve"> (</w:t>
            </w:r>
            <w:r>
              <w:rPr>
                <w:rFonts w:ascii="宋体" w:hAnsi="宋体" w:hint="eastAsia"/>
                <w:szCs w:val="24"/>
              </w:rPr>
              <w:t>太阳能</w:t>
            </w:r>
            <w:r>
              <w:rPr>
                <w:rFonts w:ascii="宋体" w:hAnsi="宋体"/>
                <w:szCs w:val="24"/>
              </w:rPr>
              <w:t xml:space="preserve">, </w:t>
            </w:r>
            <w:r>
              <w:rPr>
                <w:rFonts w:ascii="宋体" w:hAnsi="宋体" w:hint="eastAsia"/>
                <w:szCs w:val="24"/>
              </w:rPr>
              <w:t>风能</w:t>
            </w:r>
            <w:r>
              <w:rPr>
                <w:rFonts w:ascii="宋体" w:hAnsi="宋体"/>
                <w:szCs w:val="24"/>
              </w:rPr>
              <w:t xml:space="preserve">, </w:t>
            </w:r>
            <w:r>
              <w:rPr>
                <w:rFonts w:ascii="宋体" w:hAnsi="宋体" w:hint="eastAsia"/>
                <w:szCs w:val="24"/>
              </w:rPr>
              <w:t>天然气</w:t>
            </w:r>
            <w:r>
              <w:rPr>
                <w:rFonts w:ascii="宋体" w:hAnsi="宋体"/>
                <w:szCs w:val="24"/>
              </w:rPr>
              <w:t xml:space="preserve">, CC, </w:t>
            </w:r>
            <w:r>
              <w:rPr>
                <w:rFonts w:ascii="宋体" w:hAnsi="宋体" w:hint="eastAsia"/>
                <w:szCs w:val="24"/>
              </w:rPr>
              <w:t>存储</w:t>
            </w:r>
            <w:r>
              <w:rPr>
                <w:rFonts w:ascii="宋体" w:hAnsi="宋体"/>
                <w:szCs w:val="24"/>
              </w:rPr>
              <w:t xml:space="preserve">, </w:t>
            </w:r>
            <w:r>
              <w:rPr>
                <w:rFonts w:ascii="宋体" w:hAnsi="宋体" w:hint="eastAsia"/>
                <w:szCs w:val="24"/>
              </w:rPr>
              <w:t>传输</w:t>
            </w:r>
            <w:r>
              <w:rPr>
                <w:rFonts w:ascii="宋体" w:hAnsi="宋体"/>
                <w:szCs w:val="24"/>
              </w:rPr>
              <w:t>)</w:t>
            </w:r>
          </w:p>
        </w:tc>
        <w:tc>
          <w:tcPr>
            <w:tcW w:w="1935" w:type="dxa"/>
          </w:tcPr>
          <w:p w:rsidR="00FF6CCE" w:rsidRDefault="00FF6CCE" w:rsidP="00FF6CCE">
            <w:pPr>
              <w:jc w:val="center"/>
              <w:rPr>
                <w:rFonts w:ascii="宋体" w:hAnsi="宋体"/>
                <w:szCs w:val="24"/>
              </w:rPr>
            </w:pPr>
            <w:r>
              <w:rPr>
                <w:rFonts w:ascii="宋体" w:hAnsi="宋体"/>
                <w:szCs w:val="24"/>
              </w:rPr>
              <w:t xml:space="preserve">$114,750 </w:t>
            </w:r>
          </w:p>
        </w:tc>
        <w:tc>
          <w:tcPr>
            <w:tcW w:w="2595" w:type="dxa"/>
          </w:tcPr>
          <w:p w:rsidR="00FF6CCE" w:rsidRDefault="00FF6CCE" w:rsidP="00FF6CCE">
            <w:pPr>
              <w:jc w:val="center"/>
              <w:rPr>
                <w:rFonts w:ascii="宋体" w:hAnsi="宋体"/>
                <w:szCs w:val="24"/>
              </w:rPr>
            </w:pPr>
            <w:r>
              <w:rPr>
                <w:rFonts w:ascii="宋体" w:hAnsi="宋体"/>
                <w:szCs w:val="24"/>
              </w:rPr>
              <w:t xml:space="preserve">$148,303 </w:t>
            </w:r>
          </w:p>
        </w:tc>
      </w:tr>
    </w:tbl>
    <w:p w:rsidR="00FF6CCE" w:rsidRDefault="00FF6CCE" w:rsidP="00FF6CCE">
      <w:pPr>
        <w:pStyle w:val="a2"/>
        <w:ind w:left="840"/>
      </w:pPr>
      <w:r>
        <w:rPr>
          <w:rFonts w:hint="eastAsia"/>
        </w:rPr>
        <w:t>（来源</w:t>
      </w:r>
      <w:r>
        <w:t xml:space="preserve">: </w:t>
      </w:r>
      <w:r>
        <w:fldChar w:fldCharType="begin"/>
      </w:r>
      <w:r>
        <w:instrText xml:space="preserve"> ADDIN ZOTERO_ITEM CSL_CITATION {"citationID":"HsOmu1gw","properties":{"formattedCitation":"(ARPA-E 2013b)","plainCitation":"(ARPA-E 2013b)"},"citationItems":[{"id":4793,"uris":["http://zotero.org/users/454657/items/G643BT9T"],"uri":["http://zotero.org/users/454657/items/G643BT9T"],"itemData":{"id":4793,"type":"article","title":"ARPA-E Fiscal Year 2014 Budget Request","publisher":"US Department of Energy","URL":"http://arpa-e.energy.gov/?q=arpa-e-site-page/arpa-e-budget","author":[{"family":"ARPA-E","given":""}],"issued":{"date-parts":[["2013"]]}}}],"schema":"https://github.com/citation-style-language/schema/raw/master/csl-citation.json"} </w:instrText>
      </w:r>
      <w:r>
        <w:fldChar w:fldCharType="separate"/>
      </w:r>
      <w:r>
        <w:t>ARPA-E 2013b.</w:t>
      </w:r>
      <w:r>
        <w:fldChar w:fldCharType="end"/>
      </w:r>
      <w:r>
        <w:rPr>
          <w:rFonts w:hint="eastAsia"/>
        </w:rPr>
        <w:t>）</w:t>
      </w:r>
    </w:p>
    <w:p w:rsidR="00FF6CCE" w:rsidRDefault="00FF6CCE" w:rsidP="00FF6CCE">
      <w:pPr>
        <w:ind w:firstLine="480"/>
        <w:rPr>
          <w:rFonts w:hint="eastAsia"/>
        </w:rPr>
      </w:pPr>
    </w:p>
    <w:p w:rsidR="00FF6CCE" w:rsidRDefault="00FF6CCE" w:rsidP="00FF6CCE">
      <w:pPr>
        <w:ind w:firstLine="480"/>
      </w:pPr>
      <w:r>
        <w:t>ARPA-E</w:t>
      </w:r>
      <w:r>
        <w:rPr>
          <w:rFonts w:cs="宋体" w:hint="eastAsia"/>
        </w:rPr>
        <w:t>计划的活动是由美国能源部各部门、其它联邦机构、和国家实验室之间进行协调，以避免重复性投资，并促进协同效力。</w:t>
      </w:r>
      <w:r>
        <w:t xml:space="preserve"> ARPA-E </w:t>
      </w:r>
      <w:r>
        <w:rPr>
          <w:rFonts w:cs="宋体" w:hint="eastAsia"/>
        </w:rPr>
        <w:t>计划的首任主任是</w:t>
      </w:r>
      <w:r>
        <w:t xml:space="preserve"> Arun Majumdar, </w:t>
      </w:r>
      <w:r>
        <w:rPr>
          <w:rFonts w:cs="宋体" w:hint="eastAsia"/>
        </w:rPr>
        <w:t>和能源部部长斯蒂文朱一样，他来自劳伦斯伯克利国家实验室，这也许可以帮助促进与国家实验室之间的协调工作。由于</w:t>
      </w:r>
      <w:r>
        <w:t>ARPA-E</w:t>
      </w:r>
      <w:r>
        <w:rPr>
          <w:rFonts w:cs="宋体" w:hint="eastAsia"/>
        </w:rPr>
        <w:t>创新活动仍处于其早期阶段，目前评价该计划的成功仍属过早，但是，该项计划已经在能源储存、生物质能、电力电子等方面取得了进展，而且若干项初步指标说明未来很可能会取得以“将扶持的技术放给其它参与方，继续提供资助、少发表学术刊物和少申请专利”的型式来体现的成功。</w:t>
      </w:r>
      <w:r>
        <w:rPr>
          <w:color w:val="4F81BD"/>
        </w:rPr>
        <w:t xml:space="preserve"> </w:t>
      </w:r>
    </w:p>
    <w:p w:rsidR="00FF6CCE" w:rsidRDefault="00FF6CCE" w:rsidP="00FF6CCE">
      <w:pPr>
        <w:pStyle w:val="Heading3"/>
        <w:numPr>
          <w:ilvl w:val="2"/>
          <w:numId w:val="1"/>
        </w:numPr>
        <w:tabs>
          <w:tab w:val="clear" w:pos="720"/>
        </w:tabs>
      </w:pPr>
      <w:bookmarkStart w:id="291" w:name="_Toc3580"/>
      <w:bookmarkStart w:id="292" w:name="_Toc6323"/>
      <w:bookmarkStart w:id="293" w:name="_Toc392057059"/>
      <w:bookmarkStart w:id="294" w:name="_Toc392513033"/>
      <w:r>
        <w:rPr>
          <w:rFonts w:hint="eastAsia"/>
        </w:rPr>
        <w:t>美国能源部贷款担保计划</w:t>
      </w:r>
      <w:bookmarkEnd w:id="291"/>
      <w:bookmarkEnd w:id="292"/>
      <w:bookmarkEnd w:id="293"/>
      <w:bookmarkEnd w:id="294"/>
    </w:p>
    <w:p w:rsidR="00FF6CCE" w:rsidRDefault="00FF6CCE" w:rsidP="00FF6CCE">
      <w:pPr>
        <w:ind w:firstLine="480"/>
        <w:rPr>
          <w:rFonts w:hint="eastAsia"/>
        </w:rPr>
      </w:pPr>
      <w:r>
        <w:rPr>
          <w:rFonts w:hint="eastAsia"/>
        </w:rPr>
        <w:t>美国能源部有两项为清洁能源项目提供贷款担保的计划，为商业化前的技术提供担保的</w:t>
      </w:r>
      <w:r>
        <w:t>1703</w:t>
      </w:r>
      <w:r>
        <w:rPr>
          <w:rFonts w:hint="eastAsia"/>
        </w:rPr>
        <w:t>计划（</w:t>
      </w:r>
      <w:r>
        <w:t>2005</w:t>
      </w:r>
      <w:r>
        <w:rPr>
          <w:rFonts w:hint="eastAsia"/>
        </w:rPr>
        <w:t>年通过的能源政策第</w:t>
      </w:r>
      <w:r>
        <w:t>XVII</w:t>
      </w:r>
      <w:r>
        <w:rPr>
          <w:rFonts w:hint="eastAsia"/>
        </w:rPr>
        <w:t>部分的第</w:t>
      </w:r>
      <w:r>
        <w:t>1703</w:t>
      </w:r>
      <w:r>
        <w:rPr>
          <w:rFonts w:hint="eastAsia"/>
        </w:rPr>
        <w:t>章）及</w:t>
      </w:r>
      <w:r>
        <w:t xml:space="preserve"> ARRA </w:t>
      </w:r>
      <w:r>
        <w:rPr>
          <w:rFonts w:hint="eastAsia"/>
        </w:rPr>
        <w:t>修订能源政策法案时确立的针对商用技术的</w:t>
      </w:r>
      <w:r>
        <w:t>1705</w:t>
      </w:r>
      <w:r>
        <w:rPr>
          <w:rFonts w:hint="eastAsia"/>
        </w:rPr>
        <w:t>担保。</w:t>
      </w:r>
      <w:r>
        <w:t xml:space="preserve"> 1705</w:t>
      </w:r>
      <w:r>
        <w:rPr>
          <w:rFonts w:hint="eastAsia"/>
        </w:rPr>
        <w:t>计划允许向</w:t>
      </w:r>
      <w:r>
        <w:t>2011</w:t>
      </w:r>
      <w:r>
        <w:rPr>
          <w:rFonts w:hint="eastAsia"/>
        </w:rPr>
        <w:t>年</w:t>
      </w:r>
      <w:r>
        <w:t>9</w:t>
      </w:r>
      <w:r>
        <w:rPr>
          <w:rFonts w:hint="eastAsia"/>
        </w:rPr>
        <w:t>月</w:t>
      </w:r>
      <w:r>
        <w:t>30</w:t>
      </w:r>
      <w:r>
        <w:rPr>
          <w:rFonts w:hint="eastAsia"/>
        </w:rPr>
        <w:t>日前开始施工的而且位于美国境内的“可再生能源系统，包括产生电能或热能的增量水力发电，以及生产制造相关部件的设施；电力输电系统；或领先的生物质能项目（达到试点或示范规模）”提供贷款担保。获得</w:t>
      </w:r>
      <w:r>
        <w:t>1705</w:t>
      </w:r>
      <w:r>
        <w:rPr>
          <w:rFonts w:hint="eastAsia"/>
        </w:rPr>
        <w:t>计划贷款担保的项目详见下。</w:t>
      </w:r>
    </w:p>
    <w:p w:rsidR="00FF6CCE" w:rsidRDefault="00FF6CCE" w:rsidP="00FF6CCE">
      <w:pPr>
        <w:pStyle w:val="a"/>
        <w:numPr>
          <w:ilvl w:val="0"/>
          <w:numId w:val="10"/>
        </w:numPr>
        <w:tabs>
          <w:tab w:val="clear" w:pos="0"/>
        </w:tabs>
      </w:pPr>
      <w:bookmarkStart w:id="295" w:name="_Toc392513104"/>
      <w:r>
        <w:rPr>
          <w:rFonts w:hint="eastAsia"/>
        </w:rPr>
        <w:t>获得美国能源部</w:t>
      </w:r>
      <w:r>
        <w:t>1705</w:t>
      </w:r>
      <w:r>
        <w:rPr>
          <w:rFonts w:hint="eastAsia"/>
        </w:rPr>
        <w:t>计划贷款担保的项目</w:t>
      </w:r>
      <w:bookmarkEnd w:id="29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7"/>
        <w:gridCol w:w="1297"/>
        <w:gridCol w:w="976"/>
        <w:gridCol w:w="1179"/>
        <w:gridCol w:w="2287"/>
        <w:gridCol w:w="1414"/>
      </w:tblGrid>
      <w:tr w:rsidR="00FF6CCE" w:rsidTr="00FF6CCE">
        <w:trPr>
          <w:trHeight w:val="433"/>
        </w:trPr>
        <w:tc>
          <w:tcPr>
            <w:tcW w:w="2887" w:type="dxa"/>
          </w:tcPr>
          <w:p w:rsidR="00FF6CCE" w:rsidRDefault="00FF6CCE" w:rsidP="00FF6CCE">
            <w:pPr>
              <w:jc w:val="center"/>
              <w:rPr>
                <w:rFonts w:ascii="宋体" w:hAnsi="宋体" w:hint="eastAsia"/>
                <w:b/>
                <w:bCs/>
                <w:szCs w:val="21"/>
              </w:rPr>
            </w:pPr>
            <w:r>
              <w:rPr>
                <w:rFonts w:ascii="宋体" w:hAnsi="宋体" w:hint="eastAsia"/>
                <w:b/>
                <w:bCs/>
                <w:szCs w:val="21"/>
              </w:rPr>
              <w:t>方案</w:t>
            </w:r>
          </w:p>
        </w:tc>
        <w:tc>
          <w:tcPr>
            <w:tcW w:w="1297" w:type="dxa"/>
          </w:tcPr>
          <w:p w:rsidR="00FF6CCE" w:rsidRDefault="00FF6CCE" w:rsidP="00FF6CCE">
            <w:pPr>
              <w:jc w:val="center"/>
              <w:rPr>
                <w:rFonts w:ascii="宋体" w:hAnsi="宋体" w:hint="eastAsia"/>
                <w:b/>
                <w:bCs/>
                <w:szCs w:val="21"/>
              </w:rPr>
            </w:pPr>
            <w:r>
              <w:rPr>
                <w:rFonts w:ascii="宋体" w:hAnsi="宋体" w:hint="eastAsia"/>
                <w:b/>
                <w:bCs/>
                <w:szCs w:val="21"/>
              </w:rPr>
              <w:t>技术</w:t>
            </w:r>
          </w:p>
        </w:tc>
        <w:tc>
          <w:tcPr>
            <w:tcW w:w="976" w:type="dxa"/>
          </w:tcPr>
          <w:p w:rsidR="00FF6CCE" w:rsidRDefault="00FF6CCE" w:rsidP="00FF6CCE">
            <w:pPr>
              <w:jc w:val="center"/>
              <w:rPr>
                <w:rFonts w:ascii="宋体" w:hAnsi="宋体" w:hint="eastAsia"/>
                <w:b/>
                <w:bCs/>
                <w:szCs w:val="21"/>
              </w:rPr>
            </w:pPr>
            <w:r>
              <w:rPr>
                <w:rFonts w:ascii="宋体" w:hAnsi="宋体" w:hint="eastAsia"/>
                <w:b/>
                <w:bCs/>
                <w:szCs w:val="21"/>
              </w:rPr>
              <w:t>协议日期</w:t>
            </w:r>
          </w:p>
        </w:tc>
        <w:tc>
          <w:tcPr>
            <w:tcW w:w="1179" w:type="dxa"/>
          </w:tcPr>
          <w:p w:rsidR="00FF6CCE" w:rsidRDefault="00FF6CCE" w:rsidP="00FF6CCE">
            <w:pPr>
              <w:jc w:val="center"/>
              <w:rPr>
                <w:rFonts w:ascii="宋体" w:hAnsi="宋体" w:hint="eastAsia"/>
                <w:b/>
                <w:bCs/>
                <w:szCs w:val="21"/>
              </w:rPr>
            </w:pPr>
            <w:r>
              <w:rPr>
                <w:rFonts w:ascii="宋体" w:hAnsi="宋体" w:hint="eastAsia"/>
                <w:b/>
                <w:bCs/>
                <w:szCs w:val="21"/>
              </w:rPr>
              <w:t>工作 (永久/结构)</w:t>
            </w:r>
          </w:p>
        </w:tc>
        <w:tc>
          <w:tcPr>
            <w:tcW w:w="2287" w:type="dxa"/>
          </w:tcPr>
          <w:p w:rsidR="00FF6CCE" w:rsidRDefault="00FF6CCE" w:rsidP="00FF6CCE">
            <w:pPr>
              <w:jc w:val="center"/>
              <w:rPr>
                <w:rFonts w:ascii="宋体" w:hAnsi="宋体" w:hint="eastAsia"/>
                <w:b/>
                <w:bCs/>
                <w:szCs w:val="21"/>
              </w:rPr>
            </w:pPr>
            <w:r>
              <w:rPr>
                <w:rFonts w:ascii="宋体" w:hAnsi="宋体" w:hint="eastAsia"/>
                <w:b/>
                <w:bCs/>
                <w:szCs w:val="21"/>
              </w:rPr>
              <w:t>位置</w:t>
            </w:r>
          </w:p>
        </w:tc>
        <w:tc>
          <w:tcPr>
            <w:tcW w:w="1414" w:type="dxa"/>
          </w:tcPr>
          <w:p w:rsidR="00FF6CCE" w:rsidRDefault="00FF6CCE" w:rsidP="00FF6CCE">
            <w:pPr>
              <w:jc w:val="center"/>
              <w:rPr>
                <w:rFonts w:ascii="宋体" w:hAnsi="宋体" w:hint="eastAsia"/>
                <w:b/>
                <w:bCs/>
                <w:szCs w:val="21"/>
              </w:rPr>
            </w:pPr>
            <w:r>
              <w:rPr>
                <w:rFonts w:ascii="宋体" w:hAnsi="宋体" w:hint="eastAsia"/>
                <w:b/>
                <w:bCs/>
                <w:szCs w:val="21"/>
              </w:rPr>
              <w:t>贷款担保金额</w:t>
            </w:r>
          </w:p>
        </w:tc>
      </w:tr>
      <w:tr w:rsidR="00FF6CCE" w:rsidTr="00FF6CCE">
        <w:trPr>
          <w:trHeight w:val="433"/>
        </w:trPr>
        <w:tc>
          <w:tcPr>
            <w:tcW w:w="2887" w:type="dxa"/>
          </w:tcPr>
          <w:p w:rsidR="00FF6CCE" w:rsidRDefault="00FF6CCE" w:rsidP="00FF6CCE">
            <w:pPr>
              <w:jc w:val="center"/>
              <w:rPr>
                <w:rFonts w:ascii="宋体" w:hAnsi="宋体" w:hint="eastAsia"/>
                <w:szCs w:val="21"/>
                <w:lang w:val="pt-BR"/>
              </w:rPr>
            </w:pPr>
            <w:hyperlink r:id="rId69" w:history="1">
              <w:r>
                <w:rPr>
                  <w:rFonts w:ascii="宋体" w:hAnsi="宋体" w:hint="eastAsia"/>
                  <w:szCs w:val="21"/>
                  <w:lang w:val="pt-BR"/>
                </w:rPr>
                <w:t>Abengoa Solar, Inc. (Mojave Solar)</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太阳能发电</w:t>
            </w:r>
          </w:p>
        </w:tc>
        <w:tc>
          <w:tcPr>
            <w:tcW w:w="976" w:type="dxa"/>
          </w:tcPr>
          <w:p w:rsidR="00FF6CCE" w:rsidRDefault="00FF6CCE" w:rsidP="00FF6CCE">
            <w:pPr>
              <w:jc w:val="center"/>
              <w:rPr>
                <w:rFonts w:ascii="宋体" w:hAnsi="宋体" w:hint="eastAsia"/>
                <w:szCs w:val="21"/>
              </w:rPr>
            </w:pPr>
            <w:r>
              <w:rPr>
                <w:rFonts w:ascii="宋体" w:hAnsi="宋体" w:hint="eastAsia"/>
                <w:szCs w:val="21"/>
              </w:rPr>
              <w:t>6-11</w:t>
            </w:r>
          </w:p>
        </w:tc>
        <w:tc>
          <w:tcPr>
            <w:tcW w:w="1179" w:type="dxa"/>
          </w:tcPr>
          <w:p w:rsidR="00FF6CCE" w:rsidRDefault="00FF6CCE" w:rsidP="00FF6CCE">
            <w:pPr>
              <w:jc w:val="center"/>
              <w:rPr>
                <w:rFonts w:ascii="宋体" w:hAnsi="宋体" w:hint="eastAsia"/>
                <w:szCs w:val="21"/>
              </w:rPr>
            </w:pPr>
            <w:r>
              <w:rPr>
                <w:rFonts w:ascii="宋体" w:hAnsi="宋体" w:hint="eastAsia"/>
                <w:szCs w:val="21"/>
              </w:rPr>
              <w:t>70/830</w:t>
            </w:r>
          </w:p>
        </w:tc>
        <w:tc>
          <w:tcPr>
            <w:tcW w:w="2287" w:type="dxa"/>
          </w:tcPr>
          <w:p w:rsidR="00FF6CCE" w:rsidRDefault="00FF6CCE" w:rsidP="00FF6CCE">
            <w:pPr>
              <w:jc w:val="center"/>
              <w:rPr>
                <w:rFonts w:ascii="宋体" w:hAnsi="宋体" w:hint="eastAsia"/>
                <w:szCs w:val="21"/>
              </w:rPr>
            </w:pPr>
            <w:r>
              <w:rPr>
                <w:rFonts w:ascii="宋体" w:hAnsi="宋体" w:hint="eastAsia"/>
                <w:szCs w:val="21"/>
              </w:rPr>
              <w:t>San Bernardino County, CA</w:t>
            </w:r>
          </w:p>
        </w:tc>
        <w:tc>
          <w:tcPr>
            <w:tcW w:w="1414" w:type="dxa"/>
          </w:tcPr>
          <w:p w:rsidR="00FF6CCE" w:rsidRDefault="00FF6CCE" w:rsidP="00FF6CCE">
            <w:pPr>
              <w:jc w:val="center"/>
              <w:rPr>
                <w:rFonts w:ascii="宋体" w:hAnsi="宋体" w:hint="eastAsia"/>
                <w:szCs w:val="21"/>
              </w:rPr>
            </w:pPr>
            <w:r>
              <w:rPr>
                <w:rFonts w:ascii="宋体" w:hAnsi="宋体" w:hint="eastAsia"/>
                <w:szCs w:val="21"/>
              </w:rPr>
              <w:t>12亿美元</w:t>
            </w:r>
          </w:p>
        </w:tc>
      </w:tr>
      <w:tr w:rsidR="00FF6CCE" w:rsidTr="00FF6CCE">
        <w:trPr>
          <w:trHeight w:val="433"/>
        </w:trPr>
        <w:tc>
          <w:tcPr>
            <w:tcW w:w="2887" w:type="dxa"/>
          </w:tcPr>
          <w:p w:rsidR="00FF6CCE" w:rsidRDefault="00FF6CCE" w:rsidP="00FF6CCE">
            <w:pPr>
              <w:jc w:val="center"/>
              <w:rPr>
                <w:rFonts w:ascii="宋体" w:hAnsi="宋体" w:hint="eastAsia"/>
                <w:szCs w:val="21"/>
              </w:rPr>
            </w:pPr>
            <w:hyperlink r:id="rId70" w:history="1">
              <w:r>
                <w:rPr>
                  <w:rFonts w:ascii="宋体" w:hAnsi="宋体" w:hint="eastAsia"/>
                  <w:szCs w:val="21"/>
                </w:rPr>
                <w:t>Abengoa Solar, Inc. (Solana)</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太阳能发电</w:t>
            </w:r>
          </w:p>
        </w:tc>
        <w:tc>
          <w:tcPr>
            <w:tcW w:w="976" w:type="dxa"/>
          </w:tcPr>
          <w:p w:rsidR="00FF6CCE" w:rsidRDefault="00FF6CCE" w:rsidP="00FF6CCE">
            <w:pPr>
              <w:jc w:val="center"/>
              <w:rPr>
                <w:rFonts w:ascii="宋体" w:hAnsi="宋体" w:hint="eastAsia"/>
                <w:szCs w:val="21"/>
              </w:rPr>
            </w:pPr>
            <w:r>
              <w:rPr>
                <w:rFonts w:ascii="宋体" w:hAnsi="宋体" w:hint="eastAsia"/>
                <w:szCs w:val="21"/>
              </w:rPr>
              <w:t>12-10</w:t>
            </w:r>
          </w:p>
        </w:tc>
        <w:tc>
          <w:tcPr>
            <w:tcW w:w="1179" w:type="dxa"/>
          </w:tcPr>
          <w:p w:rsidR="00FF6CCE" w:rsidRDefault="00FF6CCE" w:rsidP="00FF6CCE">
            <w:pPr>
              <w:jc w:val="center"/>
              <w:rPr>
                <w:rFonts w:ascii="宋体" w:hAnsi="宋体" w:hint="eastAsia"/>
                <w:szCs w:val="21"/>
              </w:rPr>
            </w:pPr>
            <w:r>
              <w:rPr>
                <w:rFonts w:ascii="宋体" w:hAnsi="宋体" w:hint="eastAsia"/>
                <w:szCs w:val="21"/>
              </w:rPr>
              <w:t>60/1,700</w:t>
            </w:r>
          </w:p>
        </w:tc>
        <w:tc>
          <w:tcPr>
            <w:tcW w:w="2287" w:type="dxa"/>
          </w:tcPr>
          <w:p w:rsidR="00FF6CCE" w:rsidRDefault="00FF6CCE" w:rsidP="00FF6CCE">
            <w:pPr>
              <w:jc w:val="center"/>
              <w:rPr>
                <w:rFonts w:ascii="宋体" w:hAnsi="宋体" w:hint="eastAsia"/>
                <w:szCs w:val="21"/>
              </w:rPr>
            </w:pPr>
            <w:r>
              <w:rPr>
                <w:rFonts w:ascii="宋体" w:hAnsi="宋体" w:hint="eastAsia"/>
                <w:szCs w:val="21"/>
              </w:rPr>
              <w:t>Gila Bend, AZ</w:t>
            </w:r>
          </w:p>
        </w:tc>
        <w:tc>
          <w:tcPr>
            <w:tcW w:w="1414" w:type="dxa"/>
          </w:tcPr>
          <w:p w:rsidR="00FF6CCE" w:rsidRDefault="00FF6CCE" w:rsidP="00FF6CCE">
            <w:pPr>
              <w:jc w:val="center"/>
              <w:rPr>
                <w:rFonts w:ascii="宋体" w:hAnsi="宋体" w:hint="eastAsia"/>
                <w:szCs w:val="21"/>
              </w:rPr>
            </w:pPr>
            <w:r>
              <w:rPr>
                <w:rFonts w:ascii="宋体" w:hAnsi="宋体" w:hint="eastAsia"/>
                <w:szCs w:val="21"/>
              </w:rPr>
              <w:t>14.46 亿美元</w:t>
            </w:r>
          </w:p>
        </w:tc>
      </w:tr>
      <w:tr w:rsidR="00FF6CCE" w:rsidTr="00FF6CCE">
        <w:trPr>
          <w:trHeight w:val="433"/>
        </w:trPr>
        <w:tc>
          <w:tcPr>
            <w:tcW w:w="2887" w:type="dxa"/>
          </w:tcPr>
          <w:p w:rsidR="00FF6CCE" w:rsidRDefault="00FF6CCE" w:rsidP="00FF6CCE">
            <w:pPr>
              <w:jc w:val="center"/>
              <w:rPr>
                <w:rFonts w:ascii="宋体" w:hAnsi="宋体" w:hint="eastAsia"/>
                <w:szCs w:val="21"/>
              </w:rPr>
            </w:pPr>
            <w:hyperlink r:id="rId71" w:history="1">
              <w:r>
                <w:rPr>
                  <w:rFonts w:ascii="宋体" w:hAnsi="宋体" w:hint="eastAsia"/>
                  <w:szCs w:val="21"/>
                </w:rPr>
                <w:t>Abound Solar</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太阳能制造</w:t>
            </w:r>
          </w:p>
        </w:tc>
        <w:tc>
          <w:tcPr>
            <w:tcW w:w="976" w:type="dxa"/>
          </w:tcPr>
          <w:p w:rsidR="00FF6CCE" w:rsidRDefault="00FF6CCE" w:rsidP="00FF6CCE">
            <w:pPr>
              <w:jc w:val="center"/>
              <w:rPr>
                <w:rFonts w:ascii="宋体" w:hAnsi="宋体" w:hint="eastAsia"/>
                <w:szCs w:val="21"/>
              </w:rPr>
            </w:pPr>
            <w:r>
              <w:rPr>
                <w:rFonts w:ascii="宋体" w:hAnsi="宋体" w:hint="eastAsia"/>
                <w:szCs w:val="21"/>
              </w:rPr>
              <w:t>12-10</w:t>
            </w:r>
          </w:p>
        </w:tc>
        <w:tc>
          <w:tcPr>
            <w:tcW w:w="1179" w:type="dxa"/>
          </w:tcPr>
          <w:p w:rsidR="00FF6CCE" w:rsidRDefault="00FF6CCE" w:rsidP="00FF6CCE">
            <w:pPr>
              <w:jc w:val="center"/>
              <w:rPr>
                <w:rFonts w:ascii="宋体" w:hAnsi="宋体" w:hint="eastAsia"/>
                <w:szCs w:val="21"/>
              </w:rPr>
            </w:pPr>
            <w:r>
              <w:rPr>
                <w:rFonts w:ascii="宋体" w:hAnsi="宋体" w:hint="eastAsia"/>
                <w:szCs w:val="21"/>
              </w:rPr>
              <w:t>N/A/400</w:t>
            </w:r>
          </w:p>
        </w:tc>
        <w:tc>
          <w:tcPr>
            <w:tcW w:w="2287" w:type="dxa"/>
          </w:tcPr>
          <w:p w:rsidR="00FF6CCE" w:rsidRDefault="00FF6CCE" w:rsidP="00FF6CCE">
            <w:pPr>
              <w:jc w:val="center"/>
              <w:rPr>
                <w:rFonts w:ascii="宋体" w:hAnsi="宋体" w:hint="eastAsia"/>
                <w:szCs w:val="21"/>
              </w:rPr>
            </w:pPr>
            <w:r>
              <w:rPr>
                <w:rFonts w:ascii="宋体" w:hAnsi="宋体" w:hint="eastAsia"/>
                <w:szCs w:val="21"/>
              </w:rPr>
              <w:t>Longmont, CO and Tipton, IN</w:t>
            </w:r>
          </w:p>
        </w:tc>
        <w:tc>
          <w:tcPr>
            <w:tcW w:w="1414" w:type="dxa"/>
          </w:tcPr>
          <w:p w:rsidR="00FF6CCE" w:rsidRDefault="00FF6CCE" w:rsidP="00FF6CCE">
            <w:pPr>
              <w:jc w:val="center"/>
              <w:rPr>
                <w:rFonts w:ascii="宋体" w:hAnsi="宋体" w:hint="eastAsia"/>
                <w:szCs w:val="21"/>
              </w:rPr>
            </w:pPr>
            <w:r>
              <w:rPr>
                <w:rFonts w:ascii="宋体" w:hAnsi="宋体" w:hint="eastAsia"/>
                <w:szCs w:val="21"/>
              </w:rPr>
              <w:t>4亿美元</w:t>
            </w:r>
          </w:p>
        </w:tc>
      </w:tr>
      <w:tr w:rsidR="00FF6CCE" w:rsidTr="00FF6CCE">
        <w:trPr>
          <w:trHeight w:val="433"/>
        </w:trPr>
        <w:tc>
          <w:tcPr>
            <w:tcW w:w="2887" w:type="dxa"/>
          </w:tcPr>
          <w:p w:rsidR="00FF6CCE" w:rsidRDefault="00FF6CCE" w:rsidP="00FF6CCE">
            <w:pPr>
              <w:jc w:val="center"/>
              <w:rPr>
                <w:rFonts w:ascii="宋体" w:hAnsi="宋体" w:hint="eastAsia"/>
                <w:szCs w:val="21"/>
              </w:rPr>
            </w:pPr>
            <w:hyperlink r:id="rId72" w:history="1">
              <w:r>
                <w:rPr>
                  <w:rFonts w:ascii="宋体" w:hAnsi="宋体" w:hint="eastAsia"/>
                  <w:szCs w:val="21"/>
                </w:rPr>
                <w:t>Caithness Shepherds Flat</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风能</w:t>
            </w:r>
          </w:p>
        </w:tc>
        <w:tc>
          <w:tcPr>
            <w:tcW w:w="976" w:type="dxa"/>
          </w:tcPr>
          <w:p w:rsidR="00FF6CCE" w:rsidRDefault="00FF6CCE" w:rsidP="00FF6CCE">
            <w:pPr>
              <w:jc w:val="center"/>
              <w:rPr>
                <w:rFonts w:ascii="宋体" w:hAnsi="宋体" w:hint="eastAsia"/>
                <w:szCs w:val="21"/>
              </w:rPr>
            </w:pPr>
            <w:r>
              <w:rPr>
                <w:rFonts w:ascii="宋体" w:hAnsi="宋体" w:hint="eastAsia"/>
                <w:szCs w:val="21"/>
              </w:rPr>
              <w:t>10-10</w:t>
            </w:r>
          </w:p>
        </w:tc>
        <w:tc>
          <w:tcPr>
            <w:tcW w:w="1179" w:type="dxa"/>
          </w:tcPr>
          <w:p w:rsidR="00FF6CCE" w:rsidRDefault="00FF6CCE" w:rsidP="00FF6CCE">
            <w:pPr>
              <w:jc w:val="center"/>
              <w:rPr>
                <w:rFonts w:ascii="宋体" w:hAnsi="宋体" w:hint="eastAsia"/>
                <w:szCs w:val="21"/>
              </w:rPr>
            </w:pPr>
            <w:r>
              <w:rPr>
                <w:rFonts w:ascii="宋体" w:hAnsi="宋体" w:hint="eastAsia"/>
                <w:szCs w:val="21"/>
              </w:rPr>
              <w:t>35/400</w:t>
            </w:r>
          </w:p>
        </w:tc>
        <w:tc>
          <w:tcPr>
            <w:tcW w:w="2287" w:type="dxa"/>
          </w:tcPr>
          <w:p w:rsidR="00FF6CCE" w:rsidRDefault="00FF6CCE" w:rsidP="00FF6CCE">
            <w:pPr>
              <w:jc w:val="center"/>
              <w:rPr>
                <w:rFonts w:ascii="宋体" w:hAnsi="宋体" w:hint="eastAsia"/>
                <w:szCs w:val="21"/>
              </w:rPr>
            </w:pPr>
            <w:r>
              <w:rPr>
                <w:rFonts w:ascii="宋体" w:hAnsi="宋体" w:hint="eastAsia"/>
                <w:szCs w:val="21"/>
              </w:rPr>
              <w:t>Gilliam and Morrow Counties, OR</w:t>
            </w:r>
          </w:p>
        </w:tc>
        <w:tc>
          <w:tcPr>
            <w:tcW w:w="1414" w:type="dxa"/>
          </w:tcPr>
          <w:p w:rsidR="00FF6CCE" w:rsidRDefault="00FF6CCE" w:rsidP="00FF6CCE">
            <w:pPr>
              <w:jc w:val="center"/>
              <w:rPr>
                <w:rFonts w:ascii="宋体" w:hAnsi="宋体" w:hint="eastAsia"/>
                <w:szCs w:val="21"/>
              </w:rPr>
            </w:pPr>
            <w:r>
              <w:rPr>
                <w:rFonts w:ascii="宋体" w:hAnsi="宋体" w:hint="eastAsia"/>
                <w:szCs w:val="21"/>
              </w:rPr>
              <w:t>13亿美元</w:t>
            </w:r>
          </w:p>
        </w:tc>
      </w:tr>
      <w:tr w:rsidR="00FF6CCE" w:rsidTr="00FF6CCE">
        <w:trPr>
          <w:trHeight w:val="280"/>
        </w:trPr>
        <w:tc>
          <w:tcPr>
            <w:tcW w:w="2887" w:type="dxa"/>
          </w:tcPr>
          <w:p w:rsidR="00FF6CCE" w:rsidRDefault="00FF6CCE" w:rsidP="00FF6CCE">
            <w:pPr>
              <w:jc w:val="center"/>
              <w:rPr>
                <w:rFonts w:ascii="宋体" w:hAnsi="宋体" w:hint="eastAsia"/>
                <w:szCs w:val="21"/>
              </w:rPr>
            </w:pPr>
            <w:hyperlink r:id="rId73" w:history="1">
              <w:r>
                <w:rPr>
                  <w:rFonts w:ascii="宋体" w:hAnsi="宋体" w:hint="eastAsia"/>
                  <w:szCs w:val="21"/>
                </w:rPr>
                <w:t>Cogentrix of Alamosa, LLC</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太阳能发电</w:t>
            </w:r>
          </w:p>
        </w:tc>
        <w:tc>
          <w:tcPr>
            <w:tcW w:w="976" w:type="dxa"/>
          </w:tcPr>
          <w:p w:rsidR="00FF6CCE" w:rsidRDefault="00FF6CCE" w:rsidP="00FF6CCE">
            <w:pPr>
              <w:jc w:val="center"/>
              <w:rPr>
                <w:rFonts w:ascii="宋体" w:hAnsi="宋体" w:hint="eastAsia"/>
                <w:szCs w:val="21"/>
              </w:rPr>
            </w:pPr>
            <w:r>
              <w:rPr>
                <w:rFonts w:ascii="宋体" w:hAnsi="宋体" w:hint="eastAsia"/>
                <w:szCs w:val="21"/>
              </w:rPr>
              <w:t>9-11</w:t>
            </w:r>
          </w:p>
        </w:tc>
        <w:tc>
          <w:tcPr>
            <w:tcW w:w="1179" w:type="dxa"/>
          </w:tcPr>
          <w:p w:rsidR="00FF6CCE" w:rsidRDefault="00FF6CCE" w:rsidP="00FF6CCE">
            <w:pPr>
              <w:jc w:val="center"/>
              <w:rPr>
                <w:rFonts w:ascii="宋体" w:hAnsi="宋体" w:hint="eastAsia"/>
                <w:szCs w:val="21"/>
              </w:rPr>
            </w:pPr>
            <w:r>
              <w:rPr>
                <w:rFonts w:ascii="宋体" w:hAnsi="宋体" w:hint="eastAsia"/>
                <w:szCs w:val="21"/>
              </w:rPr>
              <w:t>Oct-75</w:t>
            </w:r>
          </w:p>
        </w:tc>
        <w:tc>
          <w:tcPr>
            <w:tcW w:w="2287" w:type="dxa"/>
          </w:tcPr>
          <w:p w:rsidR="00FF6CCE" w:rsidRDefault="00FF6CCE" w:rsidP="00FF6CCE">
            <w:pPr>
              <w:jc w:val="center"/>
              <w:rPr>
                <w:rFonts w:ascii="宋体" w:hAnsi="宋体" w:hint="eastAsia"/>
                <w:szCs w:val="21"/>
              </w:rPr>
            </w:pPr>
            <w:r>
              <w:rPr>
                <w:rFonts w:ascii="宋体" w:hAnsi="宋体" w:hint="eastAsia"/>
                <w:szCs w:val="21"/>
              </w:rPr>
              <w:t>Alamosa, CO</w:t>
            </w:r>
          </w:p>
        </w:tc>
        <w:tc>
          <w:tcPr>
            <w:tcW w:w="1414" w:type="dxa"/>
          </w:tcPr>
          <w:p w:rsidR="00FF6CCE" w:rsidRDefault="00FF6CCE" w:rsidP="00FF6CCE">
            <w:pPr>
              <w:jc w:val="center"/>
              <w:rPr>
                <w:rFonts w:ascii="宋体" w:hAnsi="宋体" w:hint="eastAsia"/>
                <w:szCs w:val="21"/>
              </w:rPr>
            </w:pPr>
            <w:r>
              <w:rPr>
                <w:rFonts w:ascii="宋体" w:hAnsi="宋体" w:hint="eastAsia"/>
                <w:szCs w:val="21"/>
              </w:rPr>
              <w:t>9千万美元</w:t>
            </w:r>
          </w:p>
        </w:tc>
      </w:tr>
      <w:tr w:rsidR="00FF6CCE" w:rsidTr="00FF6CCE">
        <w:trPr>
          <w:trHeight w:val="433"/>
        </w:trPr>
        <w:tc>
          <w:tcPr>
            <w:tcW w:w="2887" w:type="dxa"/>
          </w:tcPr>
          <w:p w:rsidR="00FF6CCE" w:rsidRDefault="00FF6CCE" w:rsidP="00FF6CCE">
            <w:pPr>
              <w:jc w:val="center"/>
              <w:rPr>
                <w:rFonts w:ascii="宋体" w:hAnsi="宋体" w:hint="eastAsia"/>
                <w:szCs w:val="21"/>
              </w:rPr>
            </w:pPr>
            <w:hyperlink r:id="rId74" w:history="1">
              <w:r>
                <w:rPr>
                  <w:rFonts w:ascii="宋体" w:hAnsi="宋体" w:hint="eastAsia"/>
                  <w:szCs w:val="21"/>
                </w:rPr>
                <w:t>Exelon (Antelope Valley Solar Ranch)</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太阳能发电</w:t>
            </w:r>
          </w:p>
        </w:tc>
        <w:tc>
          <w:tcPr>
            <w:tcW w:w="976" w:type="dxa"/>
          </w:tcPr>
          <w:p w:rsidR="00FF6CCE" w:rsidRDefault="00FF6CCE" w:rsidP="00FF6CCE">
            <w:pPr>
              <w:jc w:val="center"/>
              <w:rPr>
                <w:rFonts w:ascii="宋体" w:hAnsi="宋体" w:hint="eastAsia"/>
                <w:szCs w:val="21"/>
              </w:rPr>
            </w:pPr>
            <w:r>
              <w:rPr>
                <w:rFonts w:ascii="宋体" w:hAnsi="宋体" w:hint="eastAsia"/>
                <w:szCs w:val="21"/>
              </w:rPr>
              <w:t>9-11</w:t>
            </w:r>
          </w:p>
        </w:tc>
        <w:tc>
          <w:tcPr>
            <w:tcW w:w="1179" w:type="dxa"/>
          </w:tcPr>
          <w:p w:rsidR="00FF6CCE" w:rsidRDefault="00FF6CCE" w:rsidP="00FF6CCE">
            <w:pPr>
              <w:jc w:val="center"/>
              <w:rPr>
                <w:rFonts w:ascii="宋体" w:hAnsi="宋体" w:hint="eastAsia"/>
                <w:szCs w:val="21"/>
              </w:rPr>
            </w:pPr>
            <w:r>
              <w:rPr>
                <w:rFonts w:ascii="宋体" w:hAnsi="宋体" w:hint="eastAsia"/>
                <w:szCs w:val="21"/>
              </w:rPr>
              <w:t>20/350</w:t>
            </w:r>
          </w:p>
        </w:tc>
        <w:tc>
          <w:tcPr>
            <w:tcW w:w="2287" w:type="dxa"/>
          </w:tcPr>
          <w:p w:rsidR="00FF6CCE" w:rsidRDefault="00FF6CCE" w:rsidP="00FF6CCE">
            <w:pPr>
              <w:jc w:val="center"/>
              <w:rPr>
                <w:rFonts w:ascii="宋体" w:hAnsi="宋体" w:hint="eastAsia"/>
                <w:szCs w:val="21"/>
              </w:rPr>
            </w:pPr>
            <w:r>
              <w:rPr>
                <w:rFonts w:ascii="宋体" w:hAnsi="宋体" w:hint="eastAsia"/>
                <w:szCs w:val="21"/>
              </w:rPr>
              <w:t>Lancanster, CA</w:t>
            </w:r>
          </w:p>
        </w:tc>
        <w:tc>
          <w:tcPr>
            <w:tcW w:w="1414" w:type="dxa"/>
          </w:tcPr>
          <w:p w:rsidR="00FF6CCE" w:rsidRDefault="00FF6CCE" w:rsidP="00FF6CCE">
            <w:pPr>
              <w:jc w:val="center"/>
              <w:rPr>
                <w:rFonts w:ascii="宋体" w:hAnsi="宋体" w:hint="eastAsia"/>
                <w:szCs w:val="21"/>
              </w:rPr>
            </w:pPr>
            <w:r>
              <w:rPr>
                <w:rFonts w:ascii="宋体" w:hAnsi="宋体" w:hint="eastAsia"/>
                <w:szCs w:val="21"/>
              </w:rPr>
              <w:t>6.46亿美元</w:t>
            </w:r>
          </w:p>
        </w:tc>
      </w:tr>
      <w:tr w:rsidR="00FF6CCE" w:rsidTr="00FF6CCE">
        <w:trPr>
          <w:trHeight w:val="280"/>
        </w:trPr>
        <w:tc>
          <w:tcPr>
            <w:tcW w:w="2887" w:type="dxa"/>
          </w:tcPr>
          <w:p w:rsidR="00FF6CCE" w:rsidRDefault="00FF6CCE" w:rsidP="00FF6CCE">
            <w:pPr>
              <w:jc w:val="center"/>
              <w:rPr>
                <w:rFonts w:ascii="宋体" w:hAnsi="宋体" w:hint="eastAsia"/>
                <w:szCs w:val="21"/>
              </w:rPr>
            </w:pPr>
            <w:hyperlink r:id="rId75" w:history="1">
              <w:r>
                <w:rPr>
                  <w:rFonts w:ascii="宋体" w:hAnsi="宋体" w:hint="eastAsia"/>
                  <w:szCs w:val="21"/>
                </w:rPr>
                <w:t>Granite Reliable</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风能发电</w:t>
            </w:r>
          </w:p>
        </w:tc>
        <w:tc>
          <w:tcPr>
            <w:tcW w:w="976" w:type="dxa"/>
          </w:tcPr>
          <w:p w:rsidR="00FF6CCE" w:rsidRDefault="00FF6CCE" w:rsidP="00FF6CCE">
            <w:pPr>
              <w:jc w:val="center"/>
              <w:rPr>
                <w:rFonts w:ascii="宋体" w:hAnsi="宋体" w:hint="eastAsia"/>
                <w:szCs w:val="21"/>
              </w:rPr>
            </w:pPr>
            <w:r>
              <w:rPr>
                <w:rFonts w:ascii="宋体" w:hAnsi="宋体" w:hint="eastAsia"/>
                <w:szCs w:val="21"/>
              </w:rPr>
              <w:t>9-11</w:t>
            </w:r>
          </w:p>
        </w:tc>
        <w:tc>
          <w:tcPr>
            <w:tcW w:w="1179" w:type="dxa"/>
          </w:tcPr>
          <w:p w:rsidR="00FF6CCE" w:rsidRDefault="00FF6CCE" w:rsidP="00FF6CCE">
            <w:pPr>
              <w:jc w:val="center"/>
              <w:rPr>
                <w:rFonts w:ascii="宋体" w:hAnsi="宋体" w:hint="eastAsia"/>
                <w:szCs w:val="21"/>
              </w:rPr>
            </w:pPr>
            <w:r>
              <w:rPr>
                <w:rFonts w:ascii="宋体" w:hAnsi="宋体" w:hint="eastAsia"/>
                <w:szCs w:val="21"/>
              </w:rPr>
              <w:t>6/198</w:t>
            </w:r>
          </w:p>
        </w:tc>
        <w:tc>
          <w:tcPr>
            <w:tcW w:w="2287" w:type="dxa"/>
          </w:tcPr>
          <w:p w:rsidR="00FF6CCE" w:rsidRDefault="00FF6CCE" w:rsidP="00FF6CCE">
            <w:pPr>
              <w:jc w:val="center"/>
              <w:rPr>
                <w:rFonts w:ascii="宋体" w:hAnsi="宋体" w:hint="eastAsia"/>
                <w:szCs w:val="21"/>
              </w:rPr>
            </w:pPr>
            <w:r>
              <w:rPr>
                <w:rFonts w:ascii="宋体" w:hAnsi="宋体" w:hint="eastAsia"/>
                <w:szCs w:val="21"/>
              </w:rPr>
              <w:t>Coos County, NH</w:t>
            </w:r>
          </w:p>
        </w:tc>
        <w:tc>
          <w:tcPr>
            <w:tcW w:w="1414" w:type="dxa"/>
          </w:tcPr>
          <w:p w:rsidR="00FF6CCE" w:rsidRDefault="00FF6CCE" w:rsidP="00FF6CCE">
            <w:pPr>
              <w:jc w:val="center"/>
              <w:rPr>
                <w:rFonts w:ascii="宋体" w:hAnsi="宋体" w:hint="eastAsia"/>
                <w:szCs w:val="21"/>
              </w:rPr>
            </w:pPr>
            <w:r>
              <w:rPr>
                <w:rFonts w:ascii="宋体" w:hAnsi="宋体" w:hint="eastAsia"/>
                <w:szCs w:val="21"/>
              </w:rPr>
              <w:t>1.689亿美元</w:t>
            </w:r>
          </w:p>
        </w:tc>
      </w:tr>
      <w:tr w:rsidR="00FF6CCE" w:rsidTr="00FF6CCE">
        <w:trPr>
          <w:trHeight w:val="433"/>
        </w:trPr>
        <w:tc>
          <w:tcPr>
            <w:tcW w:w="2887" w:type="dxa"/>
          </w:tcPr>
          <w:p w:rsidR="00FF6CCE" w:rsidRDefault="00FF6CCE" w:rsidP="00FF6CCE">
            <w:pPr>
              <w:jc w:val="center"/>
              <w:rPr>
                <w:rFonts w:ascii="宋体" w:hAnsi="宋体" w:hint="eastAsia"/>
                <w:szCs w:val="21"/>
              </w:rPr>
            </w:pPr>
            <w:r>
              <w:rPr>
                <w:rFonts w:ascii="宋体" w:hAnsi="宋体" w:hint="eastAsia"/>
                <w:szCs w:val="21"/>
              </w:rPr>
              <w:t>Kahuku Wind Power (First Wind)</w:t>
            </w:r>
          </w:p>
        </w:tc>
        <w:tc>
          <w:tcPr>
            <w:tcW w:w="1297" w:type="dxa"/>
          </w:tcPr>
          <w:p w:rsidR="00FF6CCE" w:rsidRDefault="00FF6CCE" w:rsidP="00FF6CCE">
            <w:pPr>
              <w:jc w:val="center"/>
              <w:rPr>
                <w:rFonts w:ascii="宋体" w:hAnsi="宋体" w:hint="eastAsia"/>
                <w:szCs w:val="21"/>
              </w:rPr>
            </w:pPr>
            <w:r>
              <w:rPr>
                <w:rFonts w:ascii="宋体" w:hAnsi="宋体" w:hint="eastAsia"/>
                <w:szCs w:val="21"/>
              </w:rPr>
              <w:t>风能发电</w:t>
            </w:r>
          </w:p>
        </w:tc>
        <w:tc>
          <w:tcPr>
            <w:tcW w:w="976" w:type="dxa"/>
          </w:tcPr>
          <w:p w:rsidR="00FF6CCE" w:rsidRDefault="00FF6CCE" w:rsidP="00FF6CCE">
            <w:pPr>
              <w:jc w:val="center"/>
              <w:rPr>
                <w:rFonts w:ascii="宋体" w:hAnsi="宋体" w:hint="eastAsia"/>
                <w:szCs w:val="21"/>
              </w:rPr>
            </w:pPr>
            <w:r>
              <w:rPr>
                <w:rFonts w:ascii="宋体" w:hAnsi="宋体" w:hint="eastAsia"/>
                <w:szCs w:val="21"/>
              </w:rPr>
              <w:t>5-10</w:t>
            </w:r>
          </w:p>
        </w:tc>
        <w:tc>
          <w:tcPr>
            <w:tcW w:w="1179" w:type="dxa"/>
          </w:tcPr>
          <w:p w:rsidR="00FF6CCE" w:rsidRDefault="00FF6CCE" w:rsidP="00FF6CCE">
            <w:pPr>
              <w:jc w:val="center"/>
              <w:rPr>
                <w:rFonts w:ascii="宋体" w:hAnsi="宋体" w:hint="eastAsia"/>
                <w:szCs w:val="21"/>
              </w:rPr>
            </w:pPr>
            <w:r>
              <w:rPr>
                <w:rFonts w:ascii="宋体" w:hAnsi="宋体" w:hint="eastAsia"/>
                <w:szCs w:val="21"/>
              </w:rPr>
              <w:t>10/200</w:t>
            </w:r>
          </w:p>
        </w:tc>
        <w:tc>
          <w:tcPr>
            <w:tcW w:w="2287" w:type="dxa"/>
          </w:tcPr>
          <w:p w:rsidR="00FF6CCE" w:rsidRDefault="00FF6CCE" w:rsidP="00FF6CCE">
            <w:pPr>
              <w:jc w:val="center"/>
              <w:rPr>
                <w:rFonts w:ascii="宋体" w:hAnsi="宋体" w:hint="eastAsia"/>
                <w:szCs w:val="21"/>
              </w:rPr>
            </w:pPr>
            <w:r>
              <w:rPr>
                <w:rFonts w:ascii="宋体" w:hAnsi="宋体" w:hint="eastAsia"/>
                <w:szCs w:val="21"/>
              </w:rPr>
              <w:t>Kahuku, Oahu, HI</w:t>
            </w:r>
          </w:p>
        </w:tc>
        <w:tc>
          <w:tcPr>
            <w:tcW w:w="1414" w:type="dxa"/>
          </w:tcPr>
          <w:p w:rsidR="00FF6CCE" w:rsidRDefault="00FF6CCE" w:rsidP="00FF6CCE">
            <w:pPr>
              <w:jc w:val="center"/>
              <w:rPr>
                <w:rFonts w:ascii="宋体" w:hAnsi="宋体" w:hint="eastAsia"/>
                <w:szCs w:val="21"/>
              </w:rPr>
            </w:pPr>
            <w:r>
              <w:rPr>
                <w:rFonts w:ascii="宋体" w:hAnsi="宋体" w:hint="eastAsia"/>
                <w:szCs w:val="21"/>
              </w:rPr>
              <w:t>1.17亿美元</w:t>
            </w:r>
          </w:p>
        </w:tc>
      </w:tr>
      <w:tr w:rsidR="00FF6CCE" w:rsidTr="00FF6CCE">
        <w:trPr>
          <w:trHeight w:val="645"/>
        </w:trPr>
        <w:tc>
          <w:tcPr>
            <w:tcW w:w="2887" w:type="dxa"/>
          </w:tcPr>
          <w:p w:rsidR="00FF6CCE" w:rsidRDefault="00FF6CCE" w:rsidP="00FF6CCE">
            <w:pPr>
              <w:jc w:val="center"/>
              <w:rPr>
                <w:rFonts w:ascii="宋体" w:hAnsi="宋体" w:hint="eastAsia"/>
                <w:szCs w:val="21"/>
              </w:rPr>
            </w:pPr>
            <w:hyperlink r:id="rId76" w:history="1">
              <w:r>
                <w:rPr>
                  <w:rFonts w:ascii="宋体" w:hAnsi="宋体" w:hint="eastAsia"/>
                  <w:szCs w:val="21"/>
                </w:rPr>
                <w:t>LS Power Associates (ON Line – formerly known as SWIP-S)</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电力传输</w:t>
            </w:r>
          </w:p>
        </w:tc>
        <w:tc>
          <w:tcPr>
            <w:tcW w:w="976" w:type="dxa"/>
          </w:tcPr>
          <w:p w:rsidR="00FF6CCE" w:rsidRDefault="00FF6CCE" w:rsidP="00FF6CCE">
            <w:pPr>
              <w:jc w:val="center"/>
              <w:rPr>
                <w:rFonts w:ascii="宋体" w:hAnsi="宋体" w:hint="eastAsia"/>
                <w:szCs w:val="21"/>
              </w:rPr>
            </w:pPr>
            <w:r>
              <w:rPr>
                <w:rFonts w:ascii="宋体" w:hAnsi="宋体" w:hint="eastAsia"/>
                <w:szCs w:val="21"/>
              </w:rPr>
              <w:t>2-11</w:t>
            </w:r>
          </w:p>
        </w:tc>
        <w:tc>
          <w:tcPr>
            <w:tcW w:w="1179" w:type="dxa"/>
          </w:tcPr>
          <w:p w:rsidR="00FF6CCE" w:rsidRDefault="00FF6CCE" w:rsidP="00FF6CCE">
            <w:pPr>
              <w:jc w:val="center"/>
              <w:rPr>
                <w:rFonts w:ascii="宋体" w:hAnsi="宋体" w:hint="eastAsia"/>
                <w:szCs w:val="21"/>
              </w:rPr>
            </w:pPr>
            <w:r>
              <w:rPr>
                <w:rFonts w:ascii="宋体" w:hAnsi="宋体" w:hint="eastAsia"/>
                <w:szCs w:val="21"/>
              </w:rPr>
              <w:t>15/400</w:t>
            </w:r>
          </w:p>
        </w:tc>
        <w:tc>
          <w:tcPr>
            <w:tcW w:w="2287" w:type="dxa"/>
          </w:tcPr>
          <w:p w:rsidR="00FF6CCE" w:rsidRDefault="00FF6CCE" w:rsidP="00FF6CCE">
            <w:pPr>
              <w:jc w:val="center"/>
              <w:rPr>
                <w:rFonts w:ascii="宋体" w:hAnsi="宋体" w:hint="eastAsia"/>
                <w:szCs w:val="21"/>
              </w:rPr>
            </w:pPr>
            <w:r>
              <w:rPr>
                <w:rFonts w:ascii="宋体" w:hAnsi="宋体" w:hint="eastAsia"/>
                <w:szCs w:val="21"/>
              </w:rPr>
              <w:t>Ely to Las Vegas, NV</w:t>
            </w:r>
          </w:p>
        </w:tc>
        <w:tc>
          <w:tcPr>
            <w:tcW w:w="1414" w:type="dxa"/>
          </w:tcPr>
          <w:p w:rsidR="00FF6CCE" w:rsidRDefault="00FF6CCE" w:rsidP="00FF6CCE">
            <w:pPr>
              <w:jc w:val="center"/>
              <w:rPr>
                <w:rFonts w:ascii="宋体" w:hAnsi="宋体" w:hint="eastAsia"/>
                <w:szCs w:val="21"/>
              </w:rPr>
            </w:pPr>
            <w:r>
              <w:rPr>
                <w:rFonts w:ascii="宋体" w:hAnsi="宋体" w:hint="eastAsia"/>
                <w:szCs w:val="21"/>
              </w:rPr>
              <w:t>3.43亿美元</w:t>
            </w:r>
          </w:p>
        </w:tc>
      </w:tr>
      <w:tr w:rsidR="00FF6CCE" w:rsidTr="00FF6CCE">
        <w:trPr>
          <w:trHeight w:val="433"/>
        </w:trPr>
        <w:tc>
          <w:tcPr>
            <w:tcW w:w="2887" w:type="dxa"/>
          </w:tcPr>
          <w:p w:rsidR="00FF6CCE" w:rsidRDefault="00FF6CCE" w:rsidP="00FF6CCE">
            <w:pPr>
              <w:jc w:val="center"/>
              <w:rPr>
                <w:rFonts w:ascii="宋体" w:hAnsi="宋体" w:hint="eastAsia"/>
                <w:szCs w:val="21"/>
                <w:lang w:val="pt-BR"/>
              </w:rPr>
            </w:pPr>
            <w:hyperlink r:id="rId77" w:history="1">
              <w:r>
                <w:rPr>
                  <w:rFonts w:ascii="宋体" w:hAnsi="宋体" w:hint="eastAsia"/>
                  <w:szCs w:val="21"/>
                  <w:lang w:val="pt-BR"/>
                </w:rPr>
                <w:t>Mesquite Solar 1, LLC (Sempra Mesquite)</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太阳能发电</w:t>
            </w:r>
          </w:p>
        </w:tc>
        <w:tc>
          <w:tcPr>
            <w:tcW w:w="976" w:type="dxa"/>
          </w:tcPr>
          <w:p w:rsidR="00FF6CCE" w:rsidRDefault="00FF6CCE" w:rsidP="00FF6CCE">
            <w:pPr>
              <w:jc w:val="center"/>
              <w:rPr>
                <w:rFonts w:ascii="宋体" w:hAnsi="宋体" w:hint="eastAsia"/>
                <w:szCs w:val="21"/>
              </w:rPr>
            </w:pPr>
            <w:r>
              <w:rPr>
                <w:rFonts w:ascii="宋体" w:hAnsi="宋体" w:hint="eastAsia"/>
                <w:szCs w:val="21"/>
              </w:rPr>
              <w:t>9-11</w:t>
            </w:r>
          </w:p>
        </w:tc>
        <w:tc>
          <w:tcPr>
            <w:tcW w:w="1179" w:type="dxa"/>
          </w:tcPr>
          <w:p w:rsidR="00FF6CCE" w:rsidRDefault="00FF6CCE" w:rsidP="00FF6CCE">
            <w:pPr>
              <w:jc w:val="center"/>
              <w:rPr>
                <w:rFonts w:ascii="宋体" w:hAnsi="宋体" w:hint="eastAsia"/>
                <w:szCs w:val="21"/>
              </w:rPr>
            </w:pPr>
            <w:r>
              <w:rPr>
                <w:rFonts w:ascii="宋体" w:hAnsi="宋体" w:hint="eastAsia"/>
                <w:szCs w:val="21"/>
              </w:rPr>
              <w:t>7/300</w:t>
            </w:r>
          </w:p>
        </w:tc>
        <w:tc>
          <w:tcPr>
            <w:tcW w:w="2287" w:type="dxa"/>
          </w:tcPr>
          <w:p w:rsidR="00FF6CCE" w:rsidRDefault="00FF6CCE" w:rsidP="00FF6CCE">
            <w:pPr>
              <w:jc w:val="center"/>
              <w:rPr>
                <w:rFonts w:ascii="宋体" w:hAnsi="宋体" w:hint="eastAsia"/>
                <w:szCs w:val="21"/>
              </w:rPr>
            </w:pPr>
            <w:r>
              <w:rPr>
                <w:rFonts w:ascii="宋体" w:hAnsi="宋体" w:hint="eastAsia"/>
                <w:szCs w:val="21"/>
              </w:rPr>
              <w:t>Maricopa County, AZ</w:t>
            </w:r>
          </w:p>
        </w:tc>
        <w:tc>
          <w:tcPr>
            <w:tcW w:w="1414" w:type="dxa"/>
          </w:tcPr>
          <w:p w:rsidR="00FF6CCE" w:rsidRDefault="00FF6CCE" w:rsidP="00FF6CCE">
            <w:pPr>
              <w:jc w:val="center"/>
              <w:rPr>
                <w:rFonts w:ascii="宋体" w:hAnsi="宋体" w:hint="eastAsia"/>
                <w:szCs w:val="21"/>
              </w:rPr>
            </w:pPr>
            <w:r>
              <w:rPr>
                <w:rFonts w:ascii="宋体" w:hAnsi="宋体" w:hint="eastAsia"/>
                <w:szCs w:val="21"/>
              </w:rPr>
              <w:t>3.37亿美元</w:t>
            </w:r>
          </w:p>
        </w:tc>
      </w:tr>
      <w:tr w:rsidR="00FF6CCE" w:rsidTr="00FF6CCE">
        <w:trPr>
          <w:trHeight w:val="645"/>
        </w:trPr>
        <w:tc>
          <w:tcPr>
            <w:tcW w:w="2887" w:type="dxa"/>
          </w:tcPr>
          <w:p w:rsidR="00FF6CCE" w:rsidRDefault="00FF6CCE" w:rsidP="00FF6CCE">
            <w:pPr>
              <w:jc w:val="center"/>
              <w:rPr>
                <w:rFonts w:ascii="宋体" w:hAnsi="宋体" w:hint="eastAsia"/>
                <w:szCs w:val="21"/>
              </w:rPr>
            </w:pPr>
            <w:hyperlink r:id="rId78" w:history="1">
              <w:r>
                <w:rPr>
                  <w:rFonts w:ascii="宋体" w:hAnsi="宋体" w:hint="eastAsia"/>
                  <w:szCs w:val="21"/>
                </w:rPr>
                <w:t>Nevada Geothermal Power Company, Inc. (Blue Mountain)</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地热能</w:t>
            </w:r>
          </w:p>
        </w:tc>
        <w:tc>
          <w:tcPr>
            <w:tcW w:w="976" w:type="dxa"/>
          </w:tcPr>
          <w:p w:rsidR="00FF6CCE" w:rsidRDefault="00FF6CCE" w:rsidP="00FF6CCE">
            <w:pPr>
              <w:jc w:val="center"/>
              <w:rPr>
                <w:rFonts w:ascii="宋体" w:hAnsi="宋体" w:hint="eastAsia"/>
                <w:szCs w:val="21"/>
              </w:rPr>
            </w:pPr>
            <w:r>
              <w:rPr>
                <w:rFonts w:ascii="宋体" w:hAnsi="宋体" w:hint="eastAsia"/>
                <w:szCs w:val="21"/>
              </w:rPr>
              <w:t>9-11</w:t>
            </w:r>
          </w:p>
        </w:tc>
        <w:tc>
          <w:tcPr>
            <w:tcW w:w="1179" w:type="dxa"/>
          </w:tcPr>
          <w:p w:rsidR="00FF6CCE" w:rsidRDefault="00FF6CCE" w:rsidP="00FF6CCE">
            <w:pPr>
              <w:jc w:val="center"/>
              <w:rPr>
                <w:rFonts w:ascii="宋体" w:hAnsi="宋体" w:hint="eastAsia"/>
                <w:szCs w:val="21"/>
              </w:rPr>
            </w:pPr>
            <w:r>
              <w:rPr>
                <w:rFonts w:ascii="宋体" w:hAnsi="宋体" w:hint="eastAsia"/>
                <w:szCs w:val="21"/>
              </w:rPr>
              <w:t>14/200</w:t>
            </w:r>
          </w:p>
        </w:tc>
        <w:tc>
          <w:tcPr>
            <w:tcW w:w="2287" w:type="dxa"/>
          </w:tcPr>
          <w:p w:rsidR="00FF6CCE" w:rsidRDefault="00FF6CCE" w:rsidP="00FF6CCE">
            <w:pPr>
              <w:jc w:val="center"/>
              <w:rPr>
                <w:rFonts w:ascii="宋体" w:hAnsi="宋体" w:hint="eastAsia"/>
                <w:szCs w:val="21"/>
              </w:rPr>
            </w:pPr>
            <w:r>
              <w:rPr>
                <w:rFonts w:ascii="宋体" w:hAnsi="宋体" w:hint="eastAsia"/>
                <w:szCs w:val="21"/>
              </w:rPr>
              <w:t>Humbolt County, NV</w:t>
            </w:r>
          </w:p>
        </w:tc>
        <w:tc>
          <w:tcPr>
            <w:tcW w:w="1414" w:type="dxa"/>
          </w:tcPr>
          <w:p w:rsidR="00FF6CCE" w:rsidRDefault="00FF6CCE" w:rsidP="00FF6CCE">
            <w:pPr>
              <w:jc w:val="center"/>
              <w:rPr>
                <w:rFonts w:ascii="宋体" w:hAnsi="宋体" w:hint="eastAsia"/>
                <w:szCs w:val="21"/>
              </w:rPr>
            </w:pPr>
            <w:r>
              <w:rPr>
                <w:rFonts w:ascii="宋体" w:hAnsi="宋体" w:hint="eastAsia"/>
                <w:szCs w:val="21"/>
              </w:rPr>
              <w:t>0.985 亿美元</w:t>
            </w:r>
          </w:p>
        </w:tc>
      </w:tr>
      <w:tr w:rsidR="00FF6CCE" w:rsidTr="00FF6CCE">
        <w:trPr>
          <w:trHeight w:val="433"/>
        </w:trPr>
        <w:tc>
          <w:tcPr>
            <w:tcW w:w="2887" w:type="dxa"/>
          </w:tcPr>
          <w:p w:rsidR="00FF6CCE" w:rsidRDefault="00FF6CCE" w:rsidP="00FF6CCE">
            <w:pPr>
              <w:jc w:val="center"/>
              <w:rPr>
                <w:rFonts w:ascii="宋体" w:hAnsi="宋体" w:hint="eastAsia"/>
                <w:szCs w:val="21"/>
              </w:rPr>
            </w:pPr>
            <w:hyperlink r:id="rId79" w:history="1">
              <w:r>
                <w:rPr>
                  <w:rFonts w:ascii="宋体" w:hAnsi="宋体" w:hint="eastAsia"/>
                  <w:szCs w:val="21"/>
                </w:rPr>
                <w:t>NextEra Energy Resources, LLC (Desert Sunlight)</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太阳能发电</w:t>
            </w:r>
          </w:p>
        </w:tc>
        <w:tc>
          <w:tcPr>
            <w:tcW w:w="976" w:type="dxa"/>
          </w:tcPr>
          <w:p w:rsidR="00FF6CCE" w:rsidRDefault="00FF6CCE" w:rsidP="00FF6CCE">
            <w:pPr>
              <w:jc w:val="center"/>
              <w:rPr>
                <w:rFonts w:ascii="宋体" w:hAnsi="宋体" w:hint="eastAsia"/>
                <w:szCs w:val="21"/>
              </w:rPr>
            </w:pPr>
            <w:r>
              <w:rPr>
                <w:rFonts w:ascii="宋体" w:hAnsi="宋体" w:hint="eastAsia"/>
                <w:szCs w:val="21"/>
              </w:rPr>
              <w:t>9-11</w:t>
            </w:r>
          </w:p>
        </w:tc>
        <w:tc>
          <w:tcPr>
            <w:tcW w:w="1179" w:type="dxa"/>
          </w:tcPr>
          <w:p w:rsidR="00FF6CCE" w:rsidRDefault="00FF6CCE" w:rsidP="00FF6CCE">
            <w:pPr>
              <w:jc w:val="center"/>
              <w:rPr>
                <w:rFonts w:ascii="宋体" w:hAnsi="宋体" w:hint="eastAsia"/>
                <w:szCs w:val="21"/>
              </w:rPr>
            </w:pPr>
            <w:r>
              <w:rPr>
                <w:rFonts w:ascii="宋体" w:hAnsi="宋体" w:hint="eastAsia"/>
                <w:szCs w:val="21"/>
              </w:rPr>
              <w:t>15/550</w:t>
            </w:r>
          </w:p>
        </w:tc>
        <w:tc>
          <w:tcPr>
            <w:tcW w:w="2287" w:type="dxa"/>
          </w:tcPr>
          <w:p w:rsidR="00FF6CCE" w:rsidRDefault="00FF6CCE" w:rsidP="00FF6CCE">
            <w:pPr>
              <w:jc w:val="center"/>
              <w:rPr>
                <w:rFonts w:ascii="宋体" w:hAnsi="宋体" w:hint="eastAsia"/>
                <w:szCs w:val="21"/>
              </w:rPr>
            </w:pPr>
            <w:r>
              <w:rPr>
                <w:rFonts w:ascii="宋体" w:hAnsi="宋体" w:hint="eastAsia"/>
                <w:szCs w:val="21"/>
              </w:rPr>
              <w:t>Riverside County, CA</w:t>
            </w:r>
          </w:p>
        </w:tc>
        <w:tc>
          <w:tcPr>
            <w:tcW w:w="1414" w:type="dxa"/>
          </w:tcPr>
          <w:p w:rsidR="00FF6CCE" w:rsidRDefault="00FF6CCE" w:rsidP="00FF6CCE">
            <w:pPr>
              <w:jc w:val="center"/>
              <w:rPr>
                <w:rFonts w:ascii="宋体" w:hAnsi="宋体" w:hint="eastAsia"/>
                <w:szCs w:val="21"/>
              </w:rPr>
            </w:pPr>
            <w:r>
              <w:rPr>
                <w:rFonts w:ascii="宋体" w:hAnsi="宋体" w:hint="eastAsia"/>
                <w:szCs w:val="21"/>
              </w:rPr>
              <w:t>部分担保14.6 亿美元</w:t>
            </w:r>
          </w:p>
        </w:tc>
      </w:tr>
      <w:tr w:rsidR="00FF6CCE" w:rsidTr="00FF6CCE">
        <w:trPr>
          <w:trHeight w:val="433"/>
        </w:trPr>
        <w:tc>
          <w:tcPr>
            <w:tcW w:w="2887" w:type="dxa"/>
          </w:tcPr>
          <w:p w:rsidR="00FF6CCE" w:rsidRDefault="00FF6CCE" w:rsidP="00FF6CCE">
            <w:pPr>
              <w:jc w:val="center"/>
              <w:rPr>
                <w:rFonts w:ascii="宋体" w:hAnsi="宋体" w:hint="eastAsia"/>
                <w:szCs w:val="21"/>
              </w:rPr>
            </w:pPr>
            <w:hyperlink r:id="rId80" w:history="1">
              <w:r>
                <w:rPr>
                  <w:rFonts w:ascii="宋体" w:hAnsi="宋体" w:hint="eastAsia"/>
                  <w:szCs w:val="21"/>
                </w:rPr>
                <w:t>NextEra Energy Resources, LLC (Genesis Solar)</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太阳能发电</w:t>
            </w:r>
          </w:p>
        </w:tc>
        <w:tc>
          <w:tcPr>
            <w:tcW w:w="976" w:type="dxa"/>
          </w:tcPr>
          <w:p w:rsidR="00FF6CCE" w:rsidRDefault="00FF6CCE" w:rsidP="00FF6CCE">
            <w:pPr>
              <w:jc w:val="center"/>
              <w:rPr>
                <w:rFonts w:ascii="宋体" w:hAnsi="宋体" w:hint="eastAsia"/>
                <w:szCs w:val="21"/>
              </w:rPr>
            </w:pPr>
            <w:r>
              <w:rPr>
                <w:rFonts w:ascii="宋体" w:hAnsi="宋体" w:hint="eastAsia"/>
                <w:szCs w:val="21"/>
              </w:rPr>
              <w:t>6-11</w:t>
            </w:r>
          </w:p>
        </w:tc>
        <w:tc>
          <w:tcPr>
            <w:tcW w:w="1179" w:type="dxa"/>
          </w:tcPr>
          <w:p w:rsidR="00FF6CCE" w:rsidRDefault="00FF6CCE" w:rsidP="00FF6CCE">
            <w:pPr>
              <w:jc w:val="center"/>
              <w:rPr>
                <w:rFonts w:ascii="宋体" w:hAnsi="宋体" w:hint="eastAsia"/>
                <w:szCs w:val="21"/>
              </w:rPr>
            </w:pPr>
            <w:r>
              <w:rPr>
                <w:rFonts w:ascii="宋体" w:hAnsi="宋体" w:hint="eastAsia"/>
                <w:szCs w:val="21"/>
              </w:rPr>
              <w:t>47/800</w:t>
            </w:r>
          </w:p>
        </w:tc>
        <w:tc>
          <w:tcPr>
            <w:tcW w:w="2287" w:type="dxa"/>
          </w:tcPr>
          <w:p w:rsidR="00FF6CCE" w:rsidRDefault="00FF6CCE" w:rsidP="00FF6CCE">
            <w:pPr>
              <w:jc w:val="center"/>
              <w:rPr>
                <w:rFonts w:ascii="宋体" w:hAnsi="宋体" w:hint="eastAsia"/>
                <w:szCs w:val="21"/>
              </w:rPr>
            </w:pPr>
            <w:r>
              <w:rPr>
                <w:rFonts w:ascii="宋体" w:hAnsi="宋体" w:hint="eastAsia"/>
                <w:szCs w:val="21"/>
              </w:rPr>
              <w:t>Riverside County, CA</w:t>
            </w:r>
          </w:p>
        </w:tc>
        <w:tc>
          <w:tcPr>
            <w:tcW w:w="1414" w:type="dxa"/>
          </w:tcPr>
          <w:p w:rsidR="00FF6CCE" w:rsidRDefault="00FF6CCE" w:rsidP="00FF6CCE">
            <w:pPr>
              <w:jc w:val="center"/>
              <w:rPr>
                <w:rFonts w:ascii="宋体" w:hAnsi="宋体" w:hint="eastAsia"/>
                <w:szCs w:val="21"/>
              </w:rPr>
            </w:pPr>
            <w:r>
              <w:rPr>
                <w:rFonts w:ascii="宋体" w:hAnsi="宋体" w:hint="eastAsia"/>
                <w:szCs w:val="21"/>
              </w:rPr>
              <w:t>部分担保8.52 亿美元</w:t>
            </w:r>
          </w:p>
        </w:tc>
      </w:tr>
      <w:tr w:rsidR="00FF6CCE" w:rsidTr="00FF6CCE">
        <w:trPr>
          <w:trHeight w:val="433"/>
        </w:trPr>
        <w:tc>
          <w:tcPr>
            <w:tcW w:w="2887" w:type="dxa"/>
          </w:tcPr>
          <w:p w:rsidR="00FF6CCE" w:rsidRDefault="00FF6CCE" w:rsidP="00FF6CCE">
            <w:pPr>
              <w:jc w:val="center"/>
              <w:rPr>
                <w:rFonts w:ascii="宋体" w:hAnsi="宋体" w:hint="eastAsia"/>
                <w:szCs w:val="21"/>
              </w:rPr>
            </w:pPr>
            <w:hyperlink r:id="rId81" w:history="1">
              <w:r>
                <w:rPr>
                  <w:rFonts w:ascii="宋体" w:hAnsi="宋体" w:hint="eastAsia"/>
                  <w:szCs w:val="21"/>
                </w:rPr>
                <w:t>NRG Energy, Inc. (BrightSource)</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太阳能发电</w:t>
            </w:r>
          </w:p>
        </w:tc>
        <w:tc>
          <w:tcPr>
            <w:tcW w:w="976" w:type="dxa"/>
          </w:tcPr>
          <w:p w:rsidR="00FF6CCE" w:rsidRDefault="00FF6CCE" w:rsidP="00FF6CCE">
            <w:pPr>
              <w:jc w:val="center"/>
              <w:rPr>
                <w:rFonts w:ascii="宋体" w:hAnsi="宋体" w:hint="eastAsia"/>
                <w:szCs w:val="21"/>
              </w:rPr>
            </w:pPr>
            <w:r>
              <w:rPr>
                <w:rFonts w:ascii="宋体" w:hAnsi="宋体" w:hint="eastAsia"/>
                <w:szCs w:val="21"/>
              </w:rPr>
              <w:t>8-11</w:t>
            </w:r>
          </w:p>
        </w:tc>
        <w:tc>
          <w:tcPr>
            <w:tcW w:w="1179" w:type="dxa"/>
          </w:tcPr>
          <w:p w:rsidR="00FF6CCE" w:rsidRDefault="00FF6CCE" w:rsidP="00FF6CCE">
            <w:pPr>
              <w:jc w:val="center"/>
              <w:rPr>
                <w:rFonts w:ascii="宋体" w:hAnsi="宋体" w:hint="eastAsia"/>
                <w:szCs w:val="21"/>
              </w:rPr>
            </w:pPr>
            <w:r>
              <w:rPr>
                <w:rFonts w:ascii="宋体" w:hAnsi="宋体" w:hint="eastAsia"/>
                <w:szCs w:val="21"/>
              </w:rPr>
              <w:t>86/1,000</w:t>
            </w:r>
          </w:p>
        </w:tc>
        <w:tc>
          <w:tcPr>
            <w:tcW w:w="2287" w:type="dxa"/>
          </w:tcPr>
          <w:p w:rsidR="00FF6CCE" w:rsidRDefault="00FF6CCE" w:rsidP="00FF6CCE">
            <w:pPr>
              <w:jc w:val="center"/>
              <w:rPr>
                <w:rFonts w:ascii="宋体" w:hAnsi="宋体" w:hint="eastAsia"/>
                <w:szCs w:val="21"/>
              </w:rPr>
            </w:pPr>
            <w:r>
              <w:rPr>
                <w:rFonts w:ascii="宋体" w:hAnsi="宋体" w:hint="eastAsia"/>
                <w:szCs w:val="21"/>
              </w:rPr>
              <w:t>Baker, CA</w:t>
            </w:r>
          </w:p>
        </w:tc>
        <w:tc>
          <w:tcPr>
            <w:tcW w:w="1414" w:type="dxa"/>
          </w:tcPr>
          <w:p w:rsidR="00FF6CCE" w:rsidRDefault="00FF6CCE" w:rsidP="00FF6CCE">
            <w:pPr>
              <w:jc w:val="center"/>
              <w:rPr>
                <w:rFonts w:ascii="宋体" w:hAnsi="宋体" w:hint="eastAsia"/>
                <w:szCs w:val="21"/>
              </w:rPr>
            </w:pPr>
            <w:r>
              <w:rPr>
                <w:rFonts w:ascii="宋体" w:hAnsi="宋体" w:hint="eastAsia"/>
                <w:szCs w:val="21"/>
              </w:rPr>
              <w:t>16亿美元</w:t>
            </w:r>
          </w:p>
        </w:tc>
      </w:tr>
      <w:tr w:rsidR="00FF6CCE" w:rsidTr="00FF6CCE">
        <w:trPr>
          <w:trHeight w:val="433"/>
        </w:trPr>
        <w:tc>
          <w:tcPr>
            <w:tcW w:w="2887" w:type="dxa"/>
          </w:tcPr>
          <w:p w:rsidR="00FF6CCE" w:rsidRDefault="00FF6CCE" w:rsidP="00FF6CCE">
            <w:pPr>
              <w:jc w:val="center"/>
              <w:rPr>
                <w:rFonts w:ascii="宋体" w:hAnsi="宋体" w:hint="eastAsia"/>
                <w:szCs w:val="21"/>
              </w:rPr>
            </w:pPr>
            <w:hyperlink r:id="rId82" w:history="1">
              <w:r>
                <w:rPr>
                  <w:rFonts w:ascii="宋体" w:hAnsi="宋体" w:hint="eastAsia"/>
                  <w:szCs w:val="21"/>
                </w:rPr>
                <w:t>NRG Solar (California Valley Solar Ranch)</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太阳能发电</w:t>
            </w:r>
          </w:p>
        </w:tc>
        <w:tc>
          <w:tcPr>
            <w:tcW w:w="976" w:type="dxa"/>
          </w:tcPr>
          <w:p w:rsidR="00FF6CCE" w:rsidRDefault="00FF6CCE" w:rsidP="00FF6CCE">
            <w:pPr>
              <w:jc w:val="center"/>
              <w:rPr>
                <w:rFonts w:ascii="宋体" w:hAnsi="宋体" w:hint="eastAsia"/>
                <w:szCs w:val="21"/>
              </w:rPr>
            </w:pPr>
            <w:r>
              <w:rPr>
                <w:rFonts w:ascii="宋体" w:hAnsi="宋体" w:hint="eastAsia"/>
                <w:szCs w:val="21"/>
              </w:rPr>
              <w:t>9-11</w:t>
            </w:r>
          </w:p>
        </w:tc>
        <w:tc>
          <w:tcPr>
            <w:tcW w:w="1179" w:type="dxa"/>
          </w:tcPr>
          <w:p w:rsidR="00FF6CCE" w:rsidRDefault="00FF6CCE" w:rsidP="00FF6CCE">
            <w:pPr>
              <w:jc w:val="center"/>
              <w:rPr>
                <w:rFonts w:ascii="宋体" w:hAnsi="宋体" w:hint="eastAsia"/>
                <w:szCs w:val="21"/>
              </w:rPr>
            </w:pPr>
            <w:r>
              <w:rPr>
                <w:rFonts w:ascii="宋体" w:hAnsi="宋体" w:hint="eastAsia"/>
                <w:szCs w:val="21"/>
              </w:rPr>
              <w:t>15/350</w:t>
            </w:r>
          </w:p>
        </w:tc>
        <w:tc>
          <w:tcPr>
            <w:tcW w:w="2287" w:type="dxa"/>
          </w:tcPr>
          <w:p w:rsidR="00FF6CCE" w:rsidRDefault="00FF6CCE" w:rsidP="00FF6CCE">
            <w:pPr>
              <w:jc w:val="center"/>
              <w:rPr>
                <w:rFonts w:ascii="宋体" w:hAnsi="宋体" w:hint="eastAsia"/>
                <w:szCs w:val="21"/>
              </w:rPr>
            </w:pPr>
            <w:r>
              <w:rPr>
                <w:rFonts w:ascii="宋体" w:hAnsi="宋体" w:hint="eastAsia"/>
                <w:szCs w:val="21"/>
              </w:rPr>
              <w:t>San Luis Obispo, CA</w:t>
            </w:r>
          </w:p>
        </w:tc>
        <w:tc>
          <w:tcPr>
            <w:tcW w:w="1414" w:type="dxa"/>
          </w:tcPr>
          <w:p w:rsidR="00FF6CCE" w:rsidRDefault="00FF6CCE" w:rsidP="00FF6CCE">
            <w:pPr>
              <w:jc w:val="center"/>
              <w:rPr>
                <w:rFonts w:ascii="宋体" w:hAnsi="宋体" w:hint="eastAsia"/>
                <w:szCs w:val="21"/>
              </w:rPr>
            </w:pPr>
            <w:r>
              <w:rPr>
                <w:rFonts w:ascii="宋体" w:hAnsi="宋体" w:hint="eastAsia"/>
                <w:szCs w:val="21"/>
              </w:rPr>
              <w:t>12.37 亿美元</w:t>
            </w:r>
          </w:p>
        </w:tc>
      </w:tr>
      <w:tr w:rsidR="00FF6CCE" w:rsidTr="00FF6CCE">
        <w:trPr>
          <w:trHeight w:val="433"/>
        </w:trPr>
        <w:tc>
          <w:tcPr>
            <w:tcW w:w="2887" w:type="dxa"/>
          </w:tcPr>
          <w:p w:rsidR="00FF6CCE" w:rsidRDefault="00FF6CCE" w:rsidP="00FF6CCE">
            <w:pPr>
              <w:jc w:val="center"/>
              <w:rPr>
                <w:rFonts w:ascii="宋体" w:hAnsi="宋体" w:hint="eastAsia"/>
                <w:szCs w:val="21"/>
                <w:lang w:val="pt-BR"/>
              </w:rPr>
            </w:pPr>
            <w:hyperlink r:id="rId83" w:history="1">
              <w:r>
                <w:rPr>
                  <w:rFonts w:ascii="宋体" w:hAnsi="宋体" w:hint="eastAsia"/>
                  <w:szCs w:val="21"/>
                  <w:lang w:val="pt-BR"/>
                </w:rPr>
                <w:t>NRG Solar, LLC (Agua Caliente)</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太阳能发电</w:t>
            </w:r>
          </w:p>
        </w:tc>
        <w:tc>
          <w:tcPr>
            <w:tcW w:w="976" w:type="dxa"/>
          </w:tcPr>
          <w:p w:rsidR="00FF6CCE" w:rsidRDefault="00FF6CCE" w:rsidP="00FF6CCE">
            <w:pPr>
              <w:jc w:val="center"/>
              <w:rPr>
                <w:rFonts w:ascii="宋体" w:hAnsi="宋体" w:hint="eastAsia"/>
                <w:szCs w:val="21"/>
              </w:rPr>
            </w:pPr>
            <w:r>
              <w:rPr>
                <w:rFonts w:ascii="宋体" w:hAnsi="宋体" w:hint="eastAsia"/>
                <w:szCs w:val="21"/>
              </w:rPr>
              <w:t>8-11</w:t>
            </w:r>
          </w:p>
        </w:tc>
        <w:tc>
          <w:tcPr>
            <w:tcW w:w="1179" w:type="dxa"/>
          </w:tcPr>
          <w:p w:rsidR="00FF6CCE" w:rsidRDefault="00FF6CCE" w:rsidP="00FF6CCE">
            <w:pPr>
              <w:jc w:val="center"/>
              <w:rPr>
                <w:rFonts w:ascii="宋体" w:hAnsi="宋体" w:hint="eastAsia"/>
                <w:szCs w:val="21"/>
              </w:rPr>
            </w:pPr>
            <w:r>
              <w:rPr>
                <w:rFonts w:ascii="宋体" w:hAnsi="宋体" w:hint="eastAsia"/>
                <w:szCs w:val="21"/>
              </w:rPr>
              <w:t>10/400</w:t>
            </w:r>
          </w:p>
        </w:tc>
        <w:tc>
          <w:tcPr>
            <w:tcW w:w="2287" w:type="dxa"/>
          </w:tcPr>
          <w:p w:rsidR="00FF6CCE" w:rsidRDefault="00FF6CCE" w:rsidP="00FF6CCE">
            <w:pPr>
              <w:jc w:val="center"/>
              <w:rPr>
                <w:rFonts w:ascii="宋体" w:hAnsi="宋体" w:hint="eastAsia"/>
                <w:szCs w:val="21"/>
              </w:rPr>
            </w:pPr>
            <w:r>
              <w:rPr>
                <w:rFonts w:ascii="宋体" w:hAnsi="宋体" w:hint="eastAsia"/>
                <w:szCs w:val="21"/>
              </w:rPr>
              <w:t>Yuma County, AZ</w:t>
            </w:r>
          </w:p>
        </w:tc>
        <w:tc>
          <w:tcPr>
            <w:tcW w:w="1414" w:type="dxa"/>
          </w:tcPr>
          <w:p w:rsidR="00FF6CCE" w:rsidRDefault="00FF6CCE" w:rsidP="00FF6CCE">
            <w:pPr>
              <w:jc w:val="center"/>
              <w:rPr>
                <w:rFonts w:ascii="宋体" w:hAnsi="宋体" w:hint="eastAsia"/>
                <w:szCs w:val="21"/>
              </w:rPr>
            </w:pPr>
            <w:r>
              <w:rPr>
                <w:rFonts w:ascii="宋体" w:hAnsi="宋体" w:hint="eastAsia"/>
                <w:szCs w:val="21"/>
              </w:rPr>
              <w:t>9.67 亿美元</w:t>
            </w:r>
          </w:p>
        </w:tc>
      </w:tr>
      <w:tr w:rsidR="00FF6CCE" w:rsidTr="00FF6CCE">
        <w:trPr>
          <w:trHeight w:val="689"/>
        </w:trPr>
        <w:tc>
          <w:tcPr>
            <w:tcW w:w="2887" w:type="dxa"/>
          </w:tcPr>
          <w:p w:rsidR="00FF6CCE" w:rsidRDefault="00FF6CCE" w:rsidP="00FF6CCE">
            <w:pPr>
              <w:jc w:val="center"/>
              <w:rPr>
                <w:rFonts w:ascii="宋体" w:hAnsi="宋体" w:hint="eastAsia"/>
                <w:szCs w:val="21"/>
              </w:rPr>
            </w:pPr>
            <w:hyperlink r:id="rId84" w:history="1">
              <w:r>
                <w:rPr>
                  <w:rFonts w:ascii="宋体" w:hAnsi="宋体" w:hint="eastAsia"/>
                  <w:szCs w:val="21"/>
                </w:rPr>
                <w:t>Ormat Nevada, Inc.</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地热能</w:t>
            </w:r>
          </w:p>
        </w:tc>
        <w:tc>
          <w:tcPr>
            <w:tcW w:w="976" w:type="dxa"/>
          </w:tcPr>
          <w:p w:rsidR="00FF6CCE" w:rsidRDefault="00FF6CCE" w:rsidP="00FF6CCE">
            <w:pPr>
              <w:jc w:val="center"/>
              <w:rPr>
                <w:rFonts w:ascii="宋体" w:hAnsi="宋体" w:hint="eastAsia"/>
                <w:szCs w:val="21"/>
              </w:rPr>
            </w:pPr>
            <w:r>
              <w:rPr>
                <w:rFonts w:ascii="宋体" w:hAnsi="宋体" w:hint="eastAsia"/>
                <w:szCs w:val="21"/>
              </w:rPr>
              <w:t>6-11</w:t>
            </w:r>
          </w:p>
        </w:tc>
        <w:tc>
          <w:tcPr>
            <w:tcW w:w="1179" w:type="dxa"/>
          </w:tcPr>
          <w:p w:rsidR="00FF6CCE" w:rsidRDefault="00FF6CCE" w:rsidP="00FF6CCE">
            <w:pPr>
              <w:jc w:val="center"/>
              <w:rPr>
                <w:rFonts w:ascii="宋体" w:hAnsi="宋体" w:hint="eastAsia"/>
                <w:szCs w:val="21"/>
              </w:rPr>
            </w:pPr>
            <w:r>
              <w:rPr>
                <w:rFonts w:ascii="宋体" w:hAnsi="宋体" w:hint="eastAsia"/>
                <w:szCs w:val="21"/>
              </w:rPr>
              <w:t>64/332</w:t>
            </w:r>
          </w:p>
        </w:tc>
        <w:tc>
          <w:tcPr>
            <w:tcW w:w="2287" w:type="dxa"/>
          </w:tcPr>
          <w:p w:rsidR="00FF6CCE" w:rsidRDefault="00FF6CCE" w:rsidP="00FF6CCE">
            <w:pPr>
              <w:jc w:val="center"/>
              <w:rPr>
                <w:rFonts w:ascii="宋体" w:hAnsi="宋体" w:hint="eastAsia"/>
                <w:szCs w:val="21"/>
              </w:rPr>
            </w:pPr>
            <w:r>
              <w:rPr>
                <w:rFonts w:ascii="宋体" w:hAnsi="宋体" w:hint="eastAsia"/>
                <w:szCs w:val="21"/>
              </w:rPr>
              <w:t>Jersey Valley, McGinness Hills, and Tuscarora, NV</w:t>
            </w:r>
          </w:p>
        </w:tc>
        <w:tc>
          <w:tcPr>
            <w:tcW w:w="1414" w:type="dxa"/>
          </w:tcPr>
          <w:p w:rsidR="00FF6CCE" w:rsidRDefault="00FF6CCE" w:rsidP="00FF6CCE">
            <w:pPr>
              <w:jc w:val="center"/>
              <w:rPr>
                <w:rFonts w:ascii="宋体" w:hAnsi="宋体" w:hint="eastAsia"/>
                <w:szCs w:val="21"/>
              </w:rPr>
            </w:pPr>
            <w:r>
              <w:rPr>
                <w:rFonts w:ascii="宋体" w:hAnsi="宋体" w:hint="eastAsia"/>
                <w:szCs w:val="21"/>
              </w:rPr>
              <w:t>3.50亿美元</w:t>
            </w:r>
          </w:p>
        </w:tc>
      </w:tr>
      <w:tr w:rsidR="00FF6CCE" w:rsidTr="00FF6CCE">
        <w:trPr>
          <w:trHeight w:val="433"/>
        </w:trPr>
        <w:tc>
          <w:tcPr>
            <w:tcW w:w="2887" w:type="dxa"/>
          </w:tcPr>
          <w:p w:rsidR="00FF6CCE" w:rsidRDefault="00FF6CCE" w:rsidP="00FF6CCE">
            <w:pPr>
              <w:jc w:val="center"/>
              <w:rPr>
                <w:rFonts w:ascii="宋体" w:hAnsi="宋体" w:hint="eastAsia"/>
                <w:szCs w:val="21"/>
              </w:rPr>
            </w:pPr>
            <w:hyperlink r:id="rId85" w:history="1">
              <w:r>
                <w:rPr>
                  <w:rFonts w:ascii="宋体" w:hAnsi="宋体" w:hint="eastAsia"/>
                  <w:szCs w:val="21"/>
                </w:rPr>
                <w:t>Prologis (Project Amp)</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太阳能发电</w:t>
            </w:r>
          </w:p>
        </w:tc>
        <w:tc>
          <w:tcPr>
            <w:tcW w:w="976" w:type="dxa"/>
          </w:tcPr>
          <w:p w:rsidR="00FF6CCE" w:rsidRDefault="00FF6CCE" w:rsidP="00FF6CCE">
            <w:pPr>
              <w:jc w:val="center"/>
              <w:rPr>
                <w:rFonts w:ascii="宋体" w:hAnsi="宋体" w:hint="eastAsia"/>
                <w:szCs w:val="21"/>
              </w:rPr>
            </w:pPr>
            <w:r>
              <w:rPr>
                <w:rFonts w:ascii="宋体" w:hAnsi="宋体" w:hint="eastAsia"/>
                <w:szCs w:val="21"/>
              </w:rPr>
              <w:t>6-11</w:t>
            </w:r>
          </w:p>
        </w:tc>
        <w:tc>
          <w:tcPr>
            <w:tcW w:w="1179" w:type="dxa"/>
          </w:tcPr>
          <w:p w:rsidR="00FF6CCE" w:rsidRDefault="00FF6CCE" w:rsidP="00FF6CCE">
            <w:pPr>
              <w:jc w:val="center"/>
              <w:rPr>
                <w:rFonts w:ascii="宋体" w:hAnsi="宋体" w:hint="eastAsia"/>
                <w:szCs w:val="21"/>
              </w:rPr>
            </w:pPr>
            <w:r>
              <w:rPr>
                <w:rFonts w:ascii="宋体" w:hAnsi="宋体" w:hint="eastAsia"/>
                <w:szCs w:val="21"/>
              </w:rPr>
              <w:t>42/1,028</w:t>
            </w:r>
          </w:p>
        </w:tc>
        <w:tc>
          <w:tcPr>
            <w:tcW w:w="2287" w:type="dxa"/>
          </w:tcPr>
          <w:p w:rsidR="00FF6CCE" w:rsidRDefault="00FF6CCE" w:rsidP="00FF6CCE">
            <w:pPr>
              <w:jc w:val="center"/>
              <w:rPr>
                <w:rFonts w:ascii="宋体" w:hAnsi="宋体" w:hint="eastAsia"/>
                <w:szCs w:val="21"/>
              </w:rPr>
            </w:pPr>
            <w:r>
              <w:rPr>
                <w:rFonts w:ascii="宋体" w:hAnsi="宋体" w:hint="eastAsia"/>
                <w:szCs w:val="21"/>
              </w:rPr>
              <w:t>28 States</w:t>
            </w:r>
          </w:p>
        </w:tc>
        <w:tc>
          <w:tcPr>
            <w:tcW w:w="1414" w:type="dxa"/>
          </w:tcPr>
          <w:p w:rsidR="00FF6CCE" w:rsidRDefault="00FF6CCE" w:rsidP="00FF6CCE">
            <w:pPr>
              <w:jc w:val="center"/>
              <w:rPr>
                <w:rFonts w:ascii="宋体" w:hAnsi="宋体" w:hint="eastAsia"/>
                <w:szCs w:val="21"/>
              </w:rPr>
            </w:pPr>
            <w:r>
              <w:rPr>
                <w:rFonts w:ascii="宋体" w:hAnsi="宋体" w:hint="eastAsia"/>
                <w:szCs w:val="21"/>
              </w:rPr>
              <w:t>部分担保 14 亿美元</w:t>
            </w:r>
          </w:p>
        </w:tc>
      </w:tr>
      <w:tr w:rsidR="00FF6CCE" w:rsidTr="00FF6CCE">
        <w:trPr>
          <w:trHeight w:val="280"/>
        </w:trPr>
        <w:tc>
          <w:tcPr>
            <w:tcW w:w="2887" w:type="dxa"/>
          </w:tcPr>
          <w:p w:rsidR="00FF6CCE" w:rsidRDefault="00FF6CCE" w:rsidP="00FF6CCE">
            <w:pPr>
              <w:jc w:val="center"/>
              <w:rPr>
                <w:rFonts w:ascii="宋体" w:hAnsi="宋体" w:hint="eastAsia"/>
                <w:szCs w:val="21"/>
              </w:rPr>
            </w:pPr>
            <w:hyperlink r:id="rId86" w:history="1">
              <w:r>
                <w:rPr>
                  <w:rFonts w:ascii="宋体" w:hAnsi="宋体" w:hint="eastAsia"/>
                  <w:szCs w:val="21"/>
                </w:rPr>
                <w:t>Record Hill Wind</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风能发电</w:t>
            </w:r>
          </w:p>
        </w:tc>
        <w:tc>
          <w:tcPr>
            <w:tcW w:w="976" w:type="dxa"/>
          </w:tcPr>
          <w:p w:rsidR="00FF6CCE" w:rsidRDefault="00FF6CCE" w:rsidP="00FF6CCE">
            <w:pPr>
              <w:jc w:val="center"/>
              <w:rPr>
                <w:rFonts w:ascii="宋体" w:hAnsi="宋体" w:hint="eastAsia"/>
                <w:szCs w:val="21"/>
              </w:rPr>
            </w:pPr>
            <w:r>
              <w:rPr>
                <w:rFonts w:ascii="宋体" w:hAnsi="宋体" w:hint="eastAsia"/>
                <w:szCs w:val="21"/>
              </w:rPr>
              <w:t>8-11</w:t>
            </w:r>
          </w:p>
        </w:tc>
        <w:tc>
          <w:tcPr>
            <w:tcW w:w="1179" w:type="dxa"/>
          </w:tcPr>
          <w:p w:rsidR="00FF6CCE" w:rsidRDefault="00FF6CCE" w:rsidP="00FF6CCE">
            <w:pPr>
              <w:jc w:val="center"/>
              <w:rPr>
                <w:rFonts w:ascii="宋体" w:hAnsi="宋体" w:hint="eastAsia"/>
                <w:szCs w:val="21"/>
              </w:rPr>
            </w:pPr>
            <w:r>
              <w:rPr>
                <w:rFonts w:ascii="宋体" w:hAnsi="宋体" w:hint="eastAsia"/>
                <w:szCs w:val="21"/>
              </w:rPr>
              <w:t>8/200</w:t>
            </w:r>
          </w:p>
        </w:tc>
        <w:tc>
          <w:tcPr>
            <w:tcW w:w="2287" w:type="dxa"/>
          </w:tcPr>
          <w:p w:rsidR="00FF6CCE" w:rsidRDefault="00FF6CCE" w:rsidP="00FF6CCE">
            <w:pPr>
              <w:jc w:val="center"/>
              <w:rPr>
                <w:rFonts w:ascii="宋体" w:hAnsi="宋体" w:hint="eastAsia"/>
                <w:szCs w:val="21"/>
              </w:rPr>
            </w:pPr>
            <w:r>
              <w:rPr>
                <w:rFonts w:ascii="宋体" w:hAnsi="宋体" w:hint="eastAsia"/>
                <w:szCs w:val="21"/>
              </w:rPr>
              <w:t>Roxbury, ME</w:t>
            </w:r>
          </w:p>
        </w:tc>
        <w:tc>
          <w:tcPr>
            <w:tcW w:w="1414" w:type="dxa"/>
          </w:tcPr>
          <w:p w:rsidR="00FF6CCE" w:rsidRDefault="00FF6CCE" w:rsidP="00FF6CCE">
            <w:pPr>
              <w:jc w:val="center"/>
              <w:rPr>
                <w:rFonts w:ascii="宋体" w:hAnsi="宋体" w:hint="eastAsia"/>
                <w:szCs w:val="21"/>
              </w:rPr>
            </w:pPr>
            <w:r>
              <w:rPr>
                <w:rFonts w:ascii="宋体" w:hAnsi="宋体" w:hint="eastAsia"/>
                <w:szCs w:val="21"/>
              </w:rPr>
              <w:t>1.02 亿美元</w:t>
            </w:r>
          </w:p>
        </w:tc>
      </w:tr>
      <w:tr w:rsidR="00FF6CCE" w:rsidTr="00FF6CCE">
        <w:trPr>
          <w:trHeight w:val="433"/>
        </w:trPr>
        <w:tc>
          <w:tcPr>
            <w:tcW w:w="2887" w:type="dxa"/>
          </w:tcPr>
          <w:p w:rsidR="00FF6CCE" w:rsidRDefault="00FF6CCE" w:rsidP="00FF6CCE">
            <w:pPr>
              <w:jc w:val="center"/>
              <w:rPr>
                <w:rFonts w:ascii="宋体" w:hAnsi="宋体" w:hint="eastAsia"/>
                <w:szCs w:val="21"/>
              </w:rPr>
            </w:pPr>
            <w:hyperlink r:id="rId87" w:history="1">
              <w:r>
                <w:rPr>
                  <w:rFonts w:ascii="宋体" w:hAnsi="宋体" w:hint="eastAsia"/>
                  <w:szCs w:val="21"/>
                </w:rPr>
                <w:t>SolarReserve, LLC (Crescent Dunes)</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太阳能发电</w:t>
            </w:r>
          </w:p>
        </w:tc>
        <w:tc>
          <w:tcPr>
            <w:tcW w:w="976" w:type="dxa"/>
          </w:tcPr>
          <w:p w:rsidR="00FF6CCE" w:rsidRDefault="00FF6CCE" w:rsidP="00FF6CCE">
            <w:pPr>
              <w:jc w:val="center"/>
              <w:rPr>
                <w:rFonts w:ascii="宋体" w:hAnsi="宋体" w:hint="eastAsia"/>
                <w:szCs w:val="21"/>
              </w:rPr>
            </w:pPr>
            <w:r>
              <w:rPr>
                <w:rFonts w:ascii="宋体" w:hAnsi="宋体" w:hint="eastAsia"/>
                <w:szCs w:val="21"/>
              </w:rPr>
              <w:t>6-11</w:t>
            </w:r>
          </w:p>
        </w:tc>
        <w:tc>
          <w:tcPr>
            <w:tcW w:w="1179" w:type="dxa"/>
          </w:tcPr>
          <w:p w:rsidR="00FF6CCE" w:rsidRDefault="00FF6CCE" w:rsidP="00FF6CCE">
            <w:pPr>
              <w:jc w:val="center"/>
              <w:rPr>
                <w:rFonts w:ascii="宋体" w:hAnsi="宋体" w:hint="eastAsia"/>
                <w:szCs w:val="21"/>
              </w:rPr>
            </w:pPr>
            <w:r>
              <w:rPr>
                <w:rFonts w:ascii="宋体" w:hAnsi="宋体" w:hint="eastAsia"/>
                <w:szCs w:val="21"/>
              </w:rPr>
              <w:t>45/600</w:t>
            </w:r>
          </w:p>
        </w:tc>
        <w:tc>
          <w:tcPr>
            <w:tcW w:w="2287" w:type="dxa"/>
          </w:tcPr>
          <w:p w:rsidR="00FF6CCE" w:rsidRDefault="00FF6CCE" w:rsidP="00FF6CCE">
            <w:pPr>
              <w:jc w:val="center"/>
              <w:rPr>
                <w:rFonts w:ascii="宋体" w:hAnsi="宋体" w:hint="eastAsia"/>
                <w:szCs w:val="21"/>
              </w:rPr>
            </w:pPr>
            <w:r>
              <w:rPr>
                <w:rFonts w:ascii="宋体" w:hAnsi="宋体" w:hint="eastAsia"/>
                <w:szCs w:val="21"/>
              </w:rPr>
              <w:t>Nye County, NV</w:t>
            </w:r>
          </w:p>
        </w:tc>
        <w:tc>
          <w:tcPr>
            <w:tcW w:w="1414" w:type="dxa"/>
          </w:tcPr>
          <w:p w:rsidR="00FF6CCE" w:rsidRDefault="00FF6CCE" w:rsidP="00FF6CCE">
            <w:pPr>
              <w:jc w:val="center"/>
              <w:rPr>
                <w:rFonts w:ascii="宋体" w:hAnsi="宋体" w:hint="eastAsia"/>
                <w:szCs w:val="21"/>
              </w:rPr>
            </w:pPr>
            <w:r>
              <w:rPr>
                <w:rFonts w:ascii="宋体" w:hAnsi="宋体" w:hint="eastAsia"/>
                <w:szCs w:val="21"/>
              </w:rPr>
              <w:t>7.37 亿美元</w:t>
            </w:r>
          </w:p>
        </w:tc>
      </w:tr>
      <w:tr w:rsidR="00FF6CCE" w:rsidTr="00FF6CCE">
        <w:trPr>
          <w:trHeight w:val="433"/>
        </w:trPr>
        <w:tc>
          <w:tcPr>
            <w:tcW w:w="2887" w:type="dxa"/>
          </w:tcPr>
          <w:p w:rsidR="00FF6CCE" w:rsidRDefault="00FF6CCE" w:rsidP="00FF6CCE">
            <w:pPr>
              <w:jc w:val="center"/>
              <w:rPr>
                <w:rFonts w:ascii="宋体" w:hAnsi="宋体" w:hint="eastAsia"/>
                <w:szCs w:val="21"/>
              </w:rPr>
            </w:pPr>
            <w:hyperlink r:id="rId88" w:history="1">
              <w:r>
                <w:rPr>
                  <w:rFonts w:ascii="宋体" w:hAnsi="宋体" w:hint="eastAsia"/>
                  <w:szCs w:val="21"/>
                </w:rPr>
                <w:t>SoloPower</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太阳能制造</w:t>
            </w:r>
          </w:p>
        </w:tc>
        <w:tc>
          <w:tcPr>
            <w:tcW w:w="976" w:type="dxa"/>
          </w:tcPr>
          <w:p w:rsidR="00FF6CCE" w:rsidRDefault="00FF6CCE" w:rsidP="00FF6CCE">
            <w:pPr>
              <w:jc w:val="center"/>
              <w:rPr>
                <w:rFonts w:ascii="宋体" w:hAnsi="宋体" w:hint="eastAsia"/>
                <w:szCs w:val="21"/>
              </w:rPr>
            </w:pPr>
            <w:r>
              <w:rPr>
                <w:rFonts w:ascii="宋体" w:hAnsi="宋体" w:hint="eastAsia"/>
                <w:szCs w:val="21"/>
              </w:rPr>
              <w:t>8-11</w:t>
            </w:r>
          </w:p>
        </w:tc>
        <w:tc>
          <w:tcPr>
            <w:tcW w:w="1179" w:type="dxa"/>
          </w:tcPr>
          <w:p w:rsidR="00FF6CCE" w:rsidRDefault="00FF6CCE" w:rsidP="00FF6CCE">
            <w:pPr>
              <w:jc w:val="center"/>
              <w:rPr>
                <w:rFonts w:ascii="宋体" w:hAnsi="宋体" w:hint="eastAsia"/>
                <w:szCs w:val="21"/>
              </w:rPr>
            </w:pPr>
            <w:r>
              <w:rPr>
                <w:rFonts w:ascii="宋体" w:hAnsi="宋体" w:hint="eastAsia"/>
                <w:szCs w:val="21"/>
              </w:rPr>
              <w:t>450/270</w:t>
            </w:r>
          </w:p>
        </w:tc>
        <w:tc>
          <w:tcPr>
            <w:tcW w:w="2287" w:type="dxa"/>
          </w:tcPr>
          <w:p w:rsidR="00FF6CCE" w:rsidRDefault="00FF6CCE" w:rsidP="00FF6CCE">
            <w:pPr>
              <w:jc w:val="center"/>
              <w:rPr>
                <w:rFonts w:ascii="宋体" w:hAnsi="宋体" w:hint="eastAsia"/>
                <w:szCs w:val="21"/>
              </w:rPr>
            </w:pPr>
            <w:r>
              <w:rPr>
                <w:rFonts w:ascii="宋体" w:hAnsi="宋体" w:hint="eastAsia"/>
                <w:szCs w:val="21"/>
              </w:rPr>
              <w:t>Portland, OR</w:t>
            </w:r>
          </w:p>
        </w:tc>
        <w:tc>
          <w:tcPr>
            <w:tcW w:w="1414" w:type="dxa"/>
          </w:tcPr>
          <w:p w:rsidR="00FF6CCE" w:rsidRDefault="00FF6CCE" w:rsidP="00FF6CCE">
            <w:pPr>
              <w:jc w:val="center"/>
              <w:rPr>
                <w:rFonts w:ascii="宋体" w:hAnsi="宋体" w:hint="eastAsia"/>
                <w:szCs w:val="21"/>
              </w:rPr>
            </w:pPr>
            <w:r>
              <w:rPr>
                <w:rFonts w:ascii="宋体" w:hAnsi="宋体" w:hint="eastAsia"/>
                <w:szCs w:val="21"/>
              </w:rPr>
              <w:t>1.97 亿美元</w:t>
            </w:r>
          </w:p>
        </w:tc>
      </w:tr>
      <w:tr w:rsidR="00FF6CCE" w:rsidTr="00FF6CCE">
        <w:trPr>
          <w:trHeight w:val="416"/>
        </w:trPr>
        <w:tc>
          <w:tcPr>
            <w:tcW w:w="2887" w:type="dxa"/>
          </w:tcPr>
          <w:p w:rsidR="00FF6CCE" w:rsidRDefault="00FF6CCE" w:rsidP="00FF6CCE">
            <w:pPr>
              <w:jc w:val="center"/>
              <w:rPr>
                <w:rFonts w:ascii="宋体" w:hAnsi="宋体" w:hint="eastAsia"/>
                <w:szCs w:val="21"/>
              </w:rPr>
            </w:pPr>
            <w:hyperlink r:id="rId89" w:history="1">
              <w:r>
                <w:rPr>
                  <w:rFonts w:ascii="宋体" w:hAnsi="宋体" w:hint="eastAsia"/>
                  <w:szCs w:val="21"/>
                </w:rPr>
                <w:t>Solyndra Inc.</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太阳能制造</w:t>
            </w:r>
          </w:p>
        </w:tc>
        <w:tc>
          <w:tcPr>
            <w:tcW w:w="976" w:type="dxa"/>
          </w:tcPr>
          <w:p w:rsidR="00FF6CCE" w:rsidRDefault="00FF6CCE" w:rsidP="00FF6CCE">
            <w:pPr>
              <w:jc w:val="center"/>
              <w:rPr>
                <w:rFonts w:ascii="宋体" w:hAnsi="宋体" w:hint="eastAsia"/>
                <w:szCs w:val="21"/>
              </w:rPr>
            </w:pPr>
            <w:r>
              <w:rPr>
                <w:rFonts w:ascii="宋体" w:hAnsi="宋体" w:hint="eastAsia"/>
                <w:szCs w:val="21"/>
              </w:rPr>
              <w:t>9-09</w:t>
            </w:r>
          </w:p>
        </w:tc>
        <w:tc>
          <w:tcPr>
            <w:tcW w:w="1179" w:type="dxa"/>
          </w:tcPr>
          <w:p w:rsidR="00FF6CCE" w:rsidRDefault="00FF6CCE" w:rsidP="00FF6CCE">
            <w:pPr>
              <w:jc w:val="center"/>
              <w:rPr>
                <w:rFonts w:ascii="宋体" w:hAnsi="宋体" w:hint="eastAsia"/>
                <w:szCs w:val="21"/>
              </w:rPr>
            </w:pPr>
            <w:r>
              <w:rPr>
                <w:rFonts w:ascii="宋体" w:hAnsi="宋体" w:hint="eastAsia"/>
                <w:szCs w:val="21"/>
              </w:rPr>
              <w:t>N/A/3,000</w:t>
            </w:r>
          </w:p>
        </w:tc>
        <w:tc>
          <w:tcPr>
            <w:tcW w:w="2287" w:type="dxa"/>
          </w:tcPr>
          <w:p w:rsidR="00FF6CCE" w:rsidRDefault="00FF6CCE" w:rsidP="00FF6CCE">
            <w:pPr>
              <w:jc w:val="center"/>
              <w:rPr>
                <w:rFonts w:ascii="宋体" w:hAnsi="宋体" w:hint="eastAsia"/>
                <w:szCs w:val="21"/>
              </w:rPr>
            </w:pPr>
            <w:r>
              <w:rPr>
                <w:rFonts w:ascii="宋体" w:hAnsi="宋体" w:hint="eastAsia"/>
                <w:szCs w:val="21"/>
              </w:rPr>
              <w:t>Fremont, CA</w:t>
            </w:r>
          </w:p>
        </w:tc>
        <w:tc>
          <w:tcPr>
            <w:tcW w:w="1414" w:type="dxa"/>
          </w:tcPr>
          <w:p w:rsidR="00FF6CCE" w:rsidRDefault="00FF6CCE" w:rsidP="00FF6CCE">
            <w:pPr>
              <w:jc w:val="center"/>
              <w:rPr>
                <w:rFonts w:ascii="宋体" w:hAnsi="宋体" w:hint="eastAsia"/>
                <w:szCs w:val="21"/>
              </w:rPr>
            </w:pPr>
            <w:r>
              <w:rPr>
                <w:rFonts w:ascii="宋体" w:hAnsi="宋体" w:hint="eastAsia"/>
                <w:szCs w:val="21"/>
              </w:rPr>
              <w:t>5.35 亿美元</w:t>
            </w:r>
          </w:p>
        </w:tc>
      </w:tr>
      <w:tr w:rsidR="00FF6CCE" w:rsidTr="00FF6CCE">
        <w:trPr>
          <w:trHeight w:val="433"/>
        </w:trPr>
        <w:tc>
          <w:tcPr>
            <w:tcW w:w="2887" w:type="dxa"/>
          </w:tcPr>
          <w:p w:rsidR="00FF6CCE" w:rsidRDefault="00FF6CCE" w:rsidP="00FF6CCE">
            <w:pPr>
              <w:jc w:val="center"/>
              <w:rPr>
                <w:rFonts w:ascii="宋体" w:hAnsi="宋体" w:hint="eastAsia"/>
                <w:szCs w:val="21"/>
              </w:rPr>
            </w:pPr>
            <w:hyperlink r:id="rId90" w:history="1">
              <w:r>
                <w:rPr>
                  <w:rFonts w:ascii="宋体" w:hAnsi="宋体" w:hint="eastAsia"/>
                  <w:szCs w:val="21"/>
                </w:rPr>
                <w:t>Stephentown Spindle (Beacon Power)</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能有储存</w:t>
            </w:r>
          </w:p>
        </w:tc>
        <w:tc>
          <w:tcPr>
            <w:tcW w:w="976" w:type="dxa"/>
          </w:tcPr>
          <w:p w:rsidR="00FF6CCE" w:rsidRDefault="00FF6CCE" w:rsidP="00FF6CCE">
            <w:pPr>
              <w:jc w:val="center"/>
              <w:rPr>
                <w:rFonts w:ascii="宋体" w:hAnsi="宋体" w:hint="eastAsia"/>
                <w:szCs w:val="21"/>
              </w:rPr>
            </w:pPr>
            <w:r>
              <w:rPr>
                <w:rFonts w:ascii="宋体" w:hAnsi="宋体" w:hint="eastAsia"/>
                <w:szCs w:val="21"/>
              </w:rPr>
              <w:t>8-10</w:t>
            </w:r>
          </w:p>
        </w:tc>
        <w:tc>
          <w:tcPr>
            <w:tcW w:w="1179" w:type="dxa"/>
          </w:tcPr>
          <w:p w:rsidR="00FF6CCE" w:rsidRDefault="00FF6CCE" w:rsidP="00FF6CCE">
            <w:pPr>
              <w:jc w:val="center"/>
              <w:rPr>
                <w:rFonts w:ascii="宋体" w:hAnsi="宋体" w:hint="eastAsia"/>
                <w:szCs w:val="21"/>
              </w:rPr>
            </w:pPr>
            <w:r>
              <w:rPr>
                <w:rFonts w:ascii="宋体" w:hAnsi="宋体" w:hint="eastAsia"/>
                <w:szCs w:val="21"/>
              </w:rPr>
              <w:t>14/20</w:t>
            </w:r>
          </w:p>
        </w:tc>
        <w:tc>
          <w:tcPr>
            <w:tcW w:w="2287" w:type="dxa"/>
          </w:tcPr>
          <w:p w:rsidR="00FF6CCE" w:rsidRDefault="00FF6CCE" w:rsidP="00FF6CCE">
            <w:pPr>
              <w:jc w:val="center"/>
              <w:rPr>
                <w:rFonts w:ascii="宋体" w:hAnsi="宋体" w:hint="eastAsia"/>
                <w:szCs w:val="21"/>
              </w:rPr>
            </w:pPr>
            <w:r>
              <w:rPr>
                <w:rFonts w:ascii="宋体" w:hAnsi="宋体" w:hint="eastAsia"/>
                <w:szCs w:val="21"/>
              </w:rPr>
              <w:t>Stephentown, NY</w:t>
            </w:r>
          </w:p>
        </w:tc>
        <w:tc>
          <w:tcPr>
            <w:tcW w:w="1414" w:type="dxa"/>
          </w:tcPr>
          <w:p w:rsidR="00FF6CCE" w:rsidRDefault="00FF6CCE" w:rsidP="00FF6CCE">
            <w:pPr>
              <w:jc w:val="center"/>
              <w:rPr>
                <w:rFonts w:ascii="宋体" w:hAnsi="宋体" w:hint="eastAsia"/>
                <w:szCs w:val="21"/>
              </w:rPr>
            </w:pPr>
            <w:r>
              <w:rPr>
                <w:rFonts w:ascii="宋体" w:hAnsi="宋体" w:hint="eastAsia"/>
                <w:szCs w:val="21"/>
              </w:rPr>
              <w:t>0.43 亿美元</w:t>
            </w:r>
          </w:p>
        </w:tc>
      </w:tr>
      <w:tr w:rsidR="00FF6CCE" w:rsidTr="00FF6CCE">
        <w:trPr>
          <w:trHeight w:val="287"/>
        </w:trPr>
        <w:tc>
          <w:tcPr>
            <w:tcW w:w="2887" w:type="dxa"/>
          </w:tcPr>
          <w:p w:rsidR="00FF6CCE" w:rsidRDefault="00FF6CCE" w:rsidP="00FF6CCE">
            <w:pPr>
              <w:jc w:val="center"/>
              <w:rPr>
                <w:rFonts w:ascii="宋体" w:hAnsi="宋体" w:hint="eastAsia"/>
                <w:szCs w:val="21"/>
              </w:rPr>
            </w:pPr>
            <w:hyperlink r:id="rId91" w:history="1">
              <w:r>
                <w:rPr>
                  <w:rFonts w:ascii="宋体" w:hAnsi="宋体" w:hint="eastAsia"/>
                  <w:szCs w:val="21"/>
                </w:rPr>
                <w:t>US Geothermal, Inc.</w:t>
              </w:r>
            </w:hyperlink>
          </w:p>
        </w:tc>
        <w:tc>
          <w:tcPr>
            <w:tcW w:w="1297" w:type="dxa"/>
          </w:tcPr>
          <w:p w:rsidR="00FF6CCE" w:rsidRDefault="00FF6CCE" w:rsidP="00FF6CCE">
            <w:pPr>
              <w:jc w:val="center"/>
              <w:rPr>
                <w:rFonts w:ascii="宋体" w:hAnsi="宋体" w:hint="eastAsia"/>
                <w:szCs w:val="21"/>
              </w:rPr>
            </w:pPr>
            <w:r>
              <w:rPr>
                <w:rFonts w:ascii="宋体" w:hAnsi="宋体" w:hint="eastAsia"/>
                <w:szCs w:val="21"/>
              </w:rPr>
              <w:t>地热能</w:t>
            </w:r>
          </w:p>
        </w:tc>
        <w:tc>
          <w:tcPr>
            <w:tcW w:w="976" w:type="dxa"/>
          </w:tcPr>
          <w:p w:rsidR="00FF6CCE" w:rsidRDefault="00FF6CCE" w:rsidP="00FF6CCE">
            <w:pPr>
              <w:jc w:val="center"/>
              <w:rPr>
                <w:rFonts w:ascii="宋体" w:hAnsi="宋体" w:hint="eastAsia"/>
                <w:szCs w:val="21"/>
              </w:rPr>
            </w:pPr>
            <w:r>
              <w:rPr>
                <w:rFonts w:ascii="宋体" w:hAnsi="宋体" w:hint="eastAsia"/>
                <w:szCs w:val="21"/>
              </w:rPr>
              <w:t>2-11</w:t>
            </w:r>
          </w:p>
        </w:tc>
        <w:tc>
          <w:tcPr>
            <w:tcW w:w="1179" w:type="dxa"/>
          </w:tcPr>
          <w:p w:rsidR="00FF6CCE" w:rsidRDefault="00FF6CCE" w:rsidP="00FF6CCE">
            <w:pPr>
              <w:jc w:val="center"/>
              <w:rPr>
                <w:rFonts w:ascii="宋体" w:hAnsi="宋体" w:hint="eastAsia"/>
                <w:szCs w:val="21"/>
              </w:rPr>
            </w:pPr>
            <w:r>
              <w:rPr>
                <w:rFonts w:ascii="宋体" w:hAnsi="宋体" w:hint="eastAsia"/>
                <w:szCs w:val="21"/>
              </w:rPr>
              <w:t>10/150</w:t>
            </w:r>
          </w:p>
        </w:tc>
        <w:tc>
          <w:tcPr>
            <w:tcW w:w="2287" w:type="dxa"/>
          </w:tcPr>
          <w:p w:rsidR="00FF6CCE" w:rsidRDefault="00FF6CCE" w:rsidP="00FF6CCE">
            <w:pPr>
              <w:jc w:val="center"/>
              <w:rPr>
                <w:rFonts w:ascii="宋体" w:hAnsi="宋体" w:hint="eastAsia"/>
                <w:szCs w:val="21"/>
              </w:rPr>
            </w:pPr>
            <w:r>
              <w:rPr>
                <w:rFonts w:ascii="宋体" w:hAnsi="宋体" w:hint="eastAsia"/>
                <w:szCs w:val="21"/>
              </w:rPr>
              <w:t>Malheur County, OR</w:t>
            </w:r>
          </w:p>
        </w:tc>
        <w:tc>
          <w:tcPr>
            <w:tcW w:w="1414" w:type="dxa"/>
          </w:tcPr>
          <w:p w:rsidR="00FF6CCE" w:rsidRDefault="00FF6CCE" w:rsidP="00FF6CCE">
            <w:pPr>
              <w:jc w:val="center"/>
              <w:rPr>
                <w:rFonts w:ascii="宋体" w:hAnsi="宋体" w:hint="eastAsia"/>
                <w:szCs w:val="21"/>
              </w:rPr>
            </w:pPr>
            <w:r>
              <w:rPr>
                <w:rFonts w:ascii="宋体" w:hAnsi="宋体" w:hint="eastAsia"/>
                <w:szCs w:val="21"/>
              </w:rPr>
              <w:t>0.97 亿美元</w:t>
            </w:r>
          </w:p>
        </w:tc>
      </w:tr>
    </w:tbl>
    <w:p w:rsidR="00FF6CCE" w:rsidRDefault="00FF6CCE" w:rsidP="00FF6CCE">
      <w:pPr>
        <w:pStyle w:val="Heading3"/>
        <w:numPr>
          <w:ilvl w:val="2"/>
          <w:numId w:val="1"/>
        </w:numPr>
        <w:tabs>
          <w:tab w:val="clear" w:pos="720"/>
        </w:tabs>
      </w:pPr>
      <w:bookmarkStart w:id="296" w:name="_Toc25779"/>
      <w:bookmarkStart w:id="297" w:name="_Toc29491"/>
      <w:bookmarkStart w:id="298" w:name="_Toc392057060"/>
      <w:bookmarkStart w:id="299" w:name="_Toc392513034"/>
      <w:r>
        <w:rPr>
          <w:rFonts w:hint="eastAsia"/>
        </w:rPr>
        <w:t>能源创新中心</w:t>
      </w:r>
      <w:bookmarkEnd w:id="296"/>
      <w:bookmarkEnd w:id="297"/>
      <w:bookmarkEnd w:id="298"/>
      <w:bookmarkEnd w:id="299"/>
    </w:p>
    <w:p w:rsidR="00FF6CCE" w:rsidRDefault="00FF6CCE" w:rsidP="00FF6CCE">
      <w:pPr>
        <w:ind w:firstLine="480"/>
      </w:pPr>
      <w:r>
        <w:rPr>
          <w:rFonts w:hint="eastAsia"/>
        </w:rPr>
        <w:t>美国能源部的能源创新中心是“将从事于基础和应用研究”的研究中心与工程结合起来，以加快在关键能源问题领域获得科学发现”。</w:t>
      </w:r>
      <w:r>
        <w:t xml:space="preserve"> </w:t>
      </w:r>
      <w:r>
        <w:rPr>
          <w:rFonts w:hint="eastAsia"/>
        </w:rPr>
        <w:t>该中心的型式仿造曼哈顿项目，其宗旨是把各学科、行业、和政府的最好的研究人员集中起来，合作研究能源技术，包括能源部的国家实验室。研究活动的目标是“将能源科学和工程方面的有希望的领域从早期开始研究至实现商业应用为止”。</w:t>
      </w:r>
      <w:r>
        <w:t xml:space="preserve"> </w:t>
      </w:r>
      <w:r>
        <w:rPr>
          <w:rFonts w:hint="eastAsia"/>
        </w:rPr>
        <w:t>首批三个中心于</w:t>
      </w:r>
      <w:r>
        <w:t>2009</w:t>
      </w:r>
      <w:r>
        <w:rPr>
          <w:rFonts w:hint="eastAsia"/>
        </w:rPr>
        <w:t>年</w:t>
      </w:r>
      <w:r>
        <w:t>12</w:t>
      </w:r>
      <w:r>
        <w:rPr>
          <w:rFonts w:hint="eastAsia"/>
        </w:rPr>
        <w:t>月设立，专注于建立核能反应堆、阳光燃料、和高效建筑物的模型，并进行模拟试验。</w:t>
      </w:r>
      <w:r>
        <w:t xml:space="preserve"> 2012</w:t>
      </w:r>
      <w:r>
        <w:rPr>
          <w:rFonts w:hint="eastAsia"/>
        </w:rPr>
        <w:t>年又建立了另外两座中心：即电池和能源储存中心和关键材料中心。各个中心在运营的头五年中获得了</w:t>
      </w:r>
      <w:r>
        <w:t>1.2</w:t>
      </w:r>
      <w:r>
        <w:rPr>
          <w:rFonts w:hint="eastAsia"/>
        </w:rPr>
        <w:t>亿至</w:t>
      </w:r>
      <w:r>
        <w:t>1.22</w:t>
      </w:r>
      <w:r>
        <w:rPr>
          <w:rFonts w:hint="eastAsia"/>
        </w:rPr>
        <w:t>亿美元的资金。</w:t>
      </w:r>
    </w:p>
    <w:p w:rsidR="00FF6CCE" w:rsidRDefault="00FF6CCE" w:rsidP="00FF6CCE">
      <w:pPr>
        <w:ind w:firstLine="480"/>
      </w:pPr>
      <w:r>
        <w:rPr>
          <w:rFonts w:hint="eastAsia"/>
        </w:rPr>
        <w:t>核能模型和模拟能源创新中心是由橡树脊国家实验室领导，也包括与电力研究院、爱达荷国家实验室、洛斯阿拉莫斯国家实验室、麻省理工学院、纽约州立大学、桑迪亚国家实验室、田纳西河谷当局、密西根大学、和西屋电气公司进行合作。该中心正在创造正在运行的核能反应堆模型，以便解决核反应堆运营和安全方面的重大问题。</w:t>
      </w:r>
    </w:p>
    <w:p w:rsidR="00FF6CCE" w:rsidRDefault="00FF6CCE" w:rsidP="00FF6CCE">
      <w:pPr>
        <w:ind w:firstLine="480"/>
      </w:pPr>
      <w:r>
        <w:rPr>
          <w:rFonts w:hint="eastAsia"/>
        </w:rPr>
        <w:t>人造影像联合中心由加州工学院劳伦斯伯克利国家实验室领导，与斯坦福大学、加州大学伯克利分校，厄文和圣迭戈，和斯坦福线性加速器实验室合作。</w:t>
      </w:r>
      <w:r>
        <w:t xml:space="preserve"> </w:t>
      </w:r>
      <w:r>
        <w:rPr>
          <w:rFonts w:hint="eastAsia"/>
        </w:rPr>
        <w:t>此外，人造影像联合中心起到了做为美国包括</w:t>
      </w:r>
      <w:r>
        <w:t>20</w:t>
      </w:r>
      <w:r>
        <w:rPr>
          <w:rFonts w:hint="eastAsia"/>
        </w:rPr>
        <w:t>家能源部能源前沿研究中心的其它太阳能燃料研究团队的汇集中心的作用。</w:t>
      </w:r>
    </w:p>
    <w:p w:rsidR="00FF6CCE" w:rsidRDefault="00FF6CCE" w:rsidP="00FF6CCE">
      <w:pPr>
        <w:ind w:firstLine="480"/>
      </w:pPr>
      <w:r>
        <w:rPr>
          <w:rFonts w:hint="eastAsia"/>
        </w:rPr>
        <w:t>高能效建筑中心是总部设在费城海军船坞的能源</w:t>
      </w:r>
      <w:r>
        <w:t>-</w:t>
      </w:r>
      <w:r>
        <w:rPr>
          <w:rFonts w:hint="eastAsia"/>
        </w:rPr>
        <w:t>区域性创新集合体，包括</w:t>
      </w:r>
      <w:r>
        <w:t>25</w:t>
      </w:r>
      <w:r>
        <w:rPr>
          <w:rFonts w:hint="eastAsia"/>
        </w:rPr>
        <w:t>个组织，该</w:t>
      </w:r>
      <w:r>
        <w:t>25</w:t>
      </w:r>
      <w:r>
        <w:rPr>
          <w:rFonts w:hint="eastAsia"/>
        </w:rPr>
        <w:t>个组织包括</w:t>
      </w:r>
      <w:r>
        <w:t>11</w:t>
      </w:r>
      <w:r>
        <w:rPr>
          <w:rFonts w:hint="eastAsia"/>
        </w:rPr>
        <w:t>家学术机构、两家能源部实验室、六家高水平全球行业伙伴和区域经济开发机构。</w:t>
      </w:r>
      <w:r>
        <w:t xml:space="preserve"> </w:t>
      </w:r>
      <w:r>
        <w:rPr>
          <w:rFonts w:hint="eastAsia"/>
        </w:rPr>
        <w:t>该中心开展以开发并集成材料、技术、模型、和工具以优化整个建筑能源效能的研究。</w:t>
      </w:r>
    </w:p>
    <w:p w:rsidR="00FF6CCE" w:rsidRDefault="00FF6CCE" w:rsidP="00FF6CCE">
      <w:pPr>
        <w:ind w:firstLine="480"/>
      </w:pPr>
      <w:r>
        <w:rPr>
          <w:rFonts w:hint="eastAsia"/>
        </w:rPr>
        <w:t>为研究关键材料而设立的能源创新中心被称为“关键材料学院，由阿米斯实验室联合其它三家国验室（爱达荷国家实验室、劳伦斯利佛摩尔国家实验室和橡树脊国家实验室）七所大学（布朗大学、科罗拉多矿业学校、佛罗里达工学院下属的工业和磷研究学院、爱和华州立大学、普渡大学、罗格斯大学、新泽西州立大学、及加州大学戴维斯分校）、七家实业合作伙伴（</w:t>
      </w:r>
      <w:r>
        <w:t>Advanced Recovery, Cytec Industries, GE, Molycorp (chair of CMI’s industrial council)</w:t>
      </w:r>
      <w:r>
        <w:rPr>
          <w:rFonts w:hint="eastAsia"/>
        </w:rPr>
        <w:t>、</w:t>
      </w:r>
      <w:r>
        <w:t xml:space="preserve">OLI </w:t>
      </w:r>
      <w:r>
        <w:rPr>
          <w:rFonts w:hint="eastAsia"/>
        </w:rPr>
        <w:t>系统材料以及旋转技术渗透公司）联合领导，其研究重点是“消除材料的临界性，也是为今天和明天消除清洁能源技术实现商业应用方面的障碍。”</w:t>
      </w:r>
      <w:r>
        <w:t xml:space="preserve"> </w:t>
      </w:r>
      <w:r>
        <w:rPr>
          <w:rFonts w:hint="eastAsia"/>
        </w:rPr>
        <w:t>其研究将着力于提高稀土矿和制造工艺的生产效率和经济活力。</w:t>
      </w:r>
    </w:p>
    <w:p w:rsidR="00FF6CCE" w:rsidRDefault="00FF6CCE" w:rsidP="00FF6CCE">
      <w:pPr>
        <w:ind w:firstLine="480"/>
      </w:pPr>
      <w:r>
        <w:rPr>
          <w:rFonts w:hint="eastAsia"/>
        </w:rPr>
        <w:t>电池和能源储存中心是设立在</w:t>
      </w:r>
      <w:r>
        <w:t xml:space="preserve">Argonne </w:t>
      </w:r>
      <w:r>
        <w:rPr>
          <w:rFonts w:hint="eastAsia"/>
        </w:rPr>
        <w:t>国家实验室里的能源储存研究的联合中心</w:t>
      </w:r>
      <w:r>
        <w:t>(JCESR)</w:t>
      </w:r>
      <w:r>
        <w:rPr>
          <w:rFonts w:hint="eastAsia"/>
        </w:rPr>
        <w:t>。</w:t>
      </w:r>
      <w:r>
        <w:t xml:space="preserve"> </w:t>
      </w:r>
      <w:r>
        <w:rPr>
          <w:rFonts w:hint="eastAsia"/>
        </w:rPr>
        <w:t>与</w:t>
      </w:r>
      <w:r>
        <w:t xml:space="preserve"> Argonne </w:t>
      </w:r>
      <w:r>
        <w:rPr>
          <w:rFonts w:hint="eastAsia"/>
        </w:rPr>
        <w:t>实验室一起，该中心包括四家其它的能源部国家实验室（劳伦斯伯克利国家实验室、太平洋西北国家实验室、桑迪亚国家实验室、及</w:t>
      </w:r>
      <w:r>
        <w:t>SLAC</w:t>
      </w:r>
      <w:r>
        <w:rPr>
          <w:rFonts w:hint="eastAsia"/>
        </w:rPr>
        <w:t>国家加速器实验室）、五所大学（西北大学、芝加哥大学、伊利诺伊</w:t>
      </w:r>
      <w:r>
        <w:t>-</w:t>
      </w:r>
      <w:r>
        <w:rPr>
          <w:rFonts w:hint="eastAsia"/>
        </w:rPr>
        <w:t>芝加哥大学、伊利诺伊</w:t>
      </w:r>
      <w:r>
        <w:t xml:space="preserve">-Urbana Champaign </w:t>
      </w:r>
      <w:r>
        <w:rPr>
          <w:rFonts w:hint="eastAsia"/>
        </w:rPr>
        <w:t>大学、及密西根大学），和四家私营公司（道氏化学公司、应用技术公司、约翰逊控制系统公司）、及清洁能源信托基金。</w:t>
      </w:r>
      <w:r>
        <w:t xml:space="preserve"> JCESR </w:t>
      </w:r>
      <w:r>
        <w:rPr>
          <w:rFonts w:hint="eastAsia"/>
        </w:rPr>
        <w:t>旨在将电池技术研究的重点由不同的独立的方式调整为向更大更合作的方向努力。</w:t>
      </w:r>
    </w:p>
    <w:p w:rsidR="00FF6CCE" w:rsidRDefault="00FF6CCE" w:rsidP="00FF6CCE">
      <w:pPr>
        <w:pStyle w:val="Heading3"/>
        <w:numPr>
          <w:ilvl w:val="2"/>
          <w:numId w:val="1"/>
        </w:numPr>
        <w:tabs>
          <w:tab w:val="clear" w:pos="720"/>
        </w:tabs>
      </w:pPr>
      <w:bookmarkStart w:id="300" w:name="_Toc6331"/>
      <w:bookmarkStart w:id="301" w:name="_Toc24375"/>
      <w:bookmarkStart w:id="302" w:name="_Toc392057061"/>
      <w:bookmarkStart w:id="303" w:name="_Toc392513035"/>
      <w:r>
        <w:rPr>
          <w:rFonts w:hint="eastAsia"/>
        </w:rPr>
        <w:t>能源前沿研究中心</w:t>
      </w:r>
      <w:bookmarkEnd w:id="300"/>
      <w:bookmarkEnd w:id="301"/>
      <w:bookmarkEnd w:id="302"/>
      <w:bookmarkEnd w:id="303"/>
    </w:p>
    <w:p w:rsidR="00FF6CCE" w:rsidRDefault="00FF6CCE" w:rsidP="00FF6CCE">
      <w:pPr>
        <w:ind w:firstLine="480"/>
      </w:pPr>
      <w:r>
        <w:rPr>
          <w:rFonts w:hint="eastAsia"/>
        </w:rPr>
        <w:t>能源前沿研究中心</w:t>
      </w:r>
      <w:r>
        <w:t xml:space="preserve"> (EFRC)</w:t>
      </w:r>
      <w:r>
        <w:rPr>
          <w:rFonts w:hint="eastAsia"/>
        </w:rPr>
        <w:t>与能源创新中心的区别在于该中心更多地关注学术研究机构开展的基础研究。</w:t>
      </w:r>
      <w:r>
        <w:t xml:space="preserve"> </w:t>
      </w:r>
      <w:r>
        <w:rPr>
          <w:rFonts w:hint="eastAsia"/>
        </w:rPr>
        <w:t>有</w:t>
      </w:r>
      <w:r>
        <w:t>46</w:t>
      </w:r>
      <w:r>
        <w:rPr>
          <w:rFonts w:hint="eastAsia"/>
        </w:rPr>
        <w:t>家能源前沿研究中心在</w:t>
      </w:r>
      <w:r>
        <w:rPr>
          <w:rFonts w:hint="eastAsia"/>
        </w:rPr>
        <w:t>2009</w:t>
      </w:r>
      <w:r>
        <w:rPr>
          <w:rFonts w:hint="eastAsia"/>
        </w:rPr>
        <w:t>年</w:t>
      </w:r>
      <w:r>
        <w:rPr>
          <w:rFonts w:hint="eastAsia"/>
        </w:rPr>
        <w:t>8</w:t>
      </w:r>
      <w:r>
        <w:rPr>
          <w:rFonts w:hint="eastAsia"/>
        </w:rPr>
        <w:t>月被设立，分别由大学、国家实验室、非盈利组织和盈利性公司组成，由科学同行评审，资助每年两百万至五百万美元（大部分资金来自</w:t>
      </w:r>
      <w:r>
        <w:t xml:space="preserve"> ARRA</w:t>
      </w:r>
      <w:r>
        <w:rPr>
          <w:rFonts w:hint="eastAsia"/>
        </w:rPr>
        <w:t>）的为期</w:t>
      </w:r>
      <w:r>
        <w:rPr>
          <w:rFonts w:hint="eastAsia"/>
        </w:rPr>
        <w:t>5</w:t>
      </w:r>
      <w:r>
        <w:rPr>
          <w:rFonts w:hint="eastAsia"/>
        </w:rPr>
        <w:t>年的资助。能源前沿研究中心是“集成的、多家调查方的中心”，其任务是“对一项或多项重大挑战全力开展基础性研究，着力于满足实用性基础研究需求，该种需求由科学界的战略规划确立，并发表在基础科学咨询委员会（</w:t>
      </w:r>
      <w:r>
        <w:t>BESAC</w:t>
      </w:r>
      <w:r>
        <w:rPr>
          <w:rFonts w:hint="eastAsia"/>
        </w:rPr>
        <w:t>）的报告里，“为有关事宜和能源指明方向：科学和想象方面的五个挑战”，被称为“大挑战”报告。大挑战报告为基础能源科学提出了集中关注五大挑战的建议，这也是组成能源前沿研究中心的动力。能源前沿研究中心也关注那些能够推进有关清洁能源技术的基础研究，包括：太阳能应用、清洁和高效燃烧技术、电力能量储存、碳捕捉和摧毁技术、先进的核能系统、催化剂、极端环境中的材料、氢能科学、固态照明、及超导。</w:t>
      </w:r>
    </w:p>
    <w:p w:rsidR="00FF6CCE" w:rsidRDefault="00FF6CCE" w:rsidP="00FF6CCE">
      <w:pPr>
        <w:ind w:firstLine="480"/>
        <w:rPr>
          <w:rFonts w:hint="eastAsia"/>
        </w:rPr>
      </w:pPr>
      <w:r>
        <w:rPr>
          <w:rFonts w:hint="eastAsia"/>
        </w:rPr>
        <w:t>能源前沿研究中心雇用了</w:t>
      </w:r>
      <w:r>
        <w:t>850</w:t>
      </w:r>
      <w:r>
        <w:rPr>
          <w:rFonts w:hint="eastAsia"/>
        </w:rPr>
        <w:t>名高级调查员和超过</w:t>
      </w:r>
      <w:r>
        <w:t>2000</w:t>
      </w:r>
      <w:r>
        <w:rPr>
          <w:rFonts w:hint="eastAsia"/>
        </w:rPr>
        <w:t>名学生或博士后研究员，而且他们据称已经发表了</w:t>
      </w:r>
      <w:r>
        <w:t>3400</w:t>
      </w:r>
      <w:r>
        <w:rPr>
          <w:rFonts w:hint="eastAsia"/>
        </w:rPr>
        <w:t>份经同行审阅的刊物，超过</w:t>
      </w:r>
      <w:r>
        <w:t>200</w:t>
      </w:r>
      <w:r>
        <w:rPr>
          <w:rFonts w:hint="eastAsia"/>
        </w:rPr>
        <w:t>项专利申请。能源前沿研究中心分布于</w:t>
      </w:r>
      <w:r>
        <w:t>35</w:t>
      </w:r>
      <w:r>
        <w:rPr>
          <w:rFonts w:hint="eastAsia"/>
        </w:rPr>
        <w:t>个州及哥伦比亚特区。</w:t>
      </w:r>
    </w:p>
    <w:p w:rsidR="00FF6CCE" w:rsidRDefault="00FF6CCE" w:rsidP="00FF6CCE">
      <w:pPr>
        <w:ind w:firstLine="480"/>
        <w:jc w:val="center"/>
        <w:rPr>
          <w:rFonts w:hint="eastAsia"/>
          <w:lang w:val="en-US" w:eastAsia="en-US"/>
        </w:rPr>
      </w:pPr>
      <w:r>
        <w:rPr>
          <w:noProof/>
          <w:lang w:eastAsia="en-US"/>
        </w:rPr>
        <w:drawing>
          <wp:inline distT="0" distB="0" distL="0" distR="0">
            <wp:extent cx="4262755" cy="3418205"/>
            <wp:effectExtent l="0" t="0" r="4445" b="10795"/>
            <wp:docPr id="50" name="Picture 27"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62755" cy="3418205"/>
                    </a:xfrm>
                    <a:prstGeom prst="rect">
                      <a:avLst/>
                    </a:prstGeom>
                    <a:noFill/>
                    <a:ln>
                      <a:noFill/>
                    </a:ln>
                  </pic:spPr>
                </pic:pic>
              </a:graphicData>
            </a:graphic>
          </wp:inline>
        </w:drawing>
      </w:r>
    </w:p>
    <w:p w:rsidR="00FF6CCE" w:rsidRDefault="00FF6CCE" w:rsidP="00FF6CCE">
      <w:pPr>
        <w:pStyle w:val="a3"/>
        <w:numPr>
          <w:ilvl w:val="0"/>
          <w:numId w:val="11"/>
        </w:numPr>
        <w:tabs>
          <w:tab w:val="left" w:pos="1928"/>
        </w:tabs>
        <w:ind w:left="900" w:hanging="480"/>
        <w:rPr>
          <w:rFonts w:hint="eastAsia"/>
        </w:rPr>
      </w:pPr>
      <w:bookmarkStart w:id="304" w:name="_Toc392513095"/>
      <w:r>
        <w:rPr>
          <w:rFonts w:hint="eastAsia"/>
        </w:rPr>
        <w:t>能源前沿研究中心的地点</w:t>
      </w:r>
      <w:bookmarkEnd w:id="304"/>
    </w:p>
    <w:p w:rsidR="00FF6CCE" w:rsidRDefault="00FF6CCE" w:rsidP="00FF6CCE">
      <w:pPr>
        <w:pStyle w:val="a2"/>
        <w:ind w:left="840"/>
        <w:rPr>
          <w:rFonts w:hint="eastAsia"/>
        </w:rPr>
      </w:pPr>
      <w:r>
        <w:rPr>
          <w:rFonts w:hint="eastAsia"/>
        </w:rPr>
        <w:t>（来源：美国能源部科技办公室</w:t>
      </w:r>
      <w:r>
        <w:rPr>
          <w:rFonts w:hint="eastAsia"/>
        </w:rPr>
        <w:t xml:space="preserve"> 2013</w:t>
      </w:r>
      <w:r>
        <w:rPr>
          <w:rFonts w:hint="eastAsia"/>
        </w:rPr>
        <w:t>）</w:t>
      </w:r>
    </w:p>
    <w:p w:rsidR="00FF6CCE" w:rsidRDefault="00FF6CCE" w:rsidP="00FF6CCE">
      <w:pPr>
        <w:pStyle w:val="Heading3"/>
        <w:numPr>
          <w:ilvl w:val="2"/>
          <w:numId w:val="1"/>
        </w:numPr>
        <w:tabs>
          <w:tab w:val="clear" w:pos="720"/>
        </w:tabs>
      </w:pPr>
      <w:bookmarkStart w:id="305" w:name="_Toc28493"/>
      <w:bookmarkStart w:id="306" w:name="_Toc3093"/>
      <w:bookmarkStart w:id="307" w:name="_Toc392057062"/>
      <w:bookmarkStart w:id="308" w:name="_Toc392513036"/>
      <w:r>
        <w:rPr>
          <w:rFonts w:hint="eastAsia"/>
        </w:rPr>
        <w:t>“射日”计划</w:t>
      </w:r>
      <w:bookmarkEnd w:id="305"/>
      <w:bookmarkEnd w:id="306"/>
      <w:bookmarkEnd w:id="307"/>
      <w:bookmarkEnd w:id="308"/>
    </w:p>
    <w:p w:rsidR="00FF6CCE" w:rsidRDefault="00FF6CCE" w:rsidP="00FF6CCE">
      <w:pPr>
        <w:ind w:firstLine="519"/>
        <w:rPr>
          <w:rFonts w:hint="eastAsia"/>
        </w:rPr>
      </w:pPr>
      <w:r>
        <w:rPr>
          <w:rFonts w:hint="eastAsia"/>
          <w:b/>
        </w:rPr>
        <w:t>“射日“计划是美国能源部的太阳能技术办公室的业务一部分，</w:t>
      </w:r>
      <w:r>
        <w:rPr>
          <w:rFonts w:hint="eastAsia"/>
        </w:rPr>
        <w:t>属于能源部的能源效率和可再生能源项目（</w:t>
      </w:r>
      <w:r>
        <w:t>EERE</w:t>
      </w:r>
      <w:r>
        <w:rPr>
          <w:rFonts w:hint="eastAsia"/>
        </w:rPr>
        <w:t>）。</w:t>
      </w:r>
      <w:r>
        <w:t xml:space="preserve"> </w:t>
      </w:r>
      <w:r>
        <w:rPr>
          <w:rFonts w:hint="eastAsia"/>
        </w:rPr>
        <w:t>射日计划的目标是在十年末使太阳能成本可与其它能源形式相竞争，是受第一次将人类送到月球上的由肯尼迪总统发起的“射月”计划的启发而制订的。自从</w:t>
      </w:r>
      <w:r>
        <w:t>2011</w:t>
      </w:r>
      <w:r>
        <w:rPr>
          <w:rFonts w:hint="eastAsia"/>
        </w:rPr>
        <w:t>年</w:t>
      </w:r>
      <w:r>
        <w:t>2</w:t>
      </w:r>
      <w:r>
        <w:rPr>
          <w:rFonts w:hint="eastAsia"/>
        </w:rPr>
        <w:t>月宣布射日计划以来，太阳能办公室在光伏领域、聚焦太阳动力、平衡系统费用、及系统集成方面资助了</w:t>
      </w:r>
      <w:r>
        <w:t>150</w:t>
      </w:r>
      <w:r>
        <w:rPr>
          <w:rFonts w:hint="eastAsia"/>
        </w:rPr>
        <w:t>个项目。在任一该等技术的领域里均有不同的可供使用的项目支持计划，包括研发扶持、竞标大奖。所谓竞标大奖是通过竞标方式为目标研究项目寻找扶持资金，邀请行业单位、国家实验室、和大学参与竞标。竞标性大奖是给予如下各种项目的，如下一代光伏项目，推动电池效率的基础性项目，射日计划孵化器项目、光伏供应链及交叉剪接项目、光伏制造计划、及美国本土项目的</w:t>
      </w:r>
      <w:r>
        <w:t xml:space="preserve">Nascent PV </w:t>
      </w:r>
      <w:r>
        <w:rPr>
          <w:rFonts w:hint="eastAsia"/>
        </w:rPr>
        <w:t>升级版。</w:t>
      </w:r>
    </w:p>
    <w:p w:rsidR="00FF6CCE" w:rsidRDefault="00FF6CCE" w:rsidP="00FF6CCE">
      <w:pPr>
        <w:ind w:firstLine="480"/>
        <w:jc w:val="center"/>
        <w:rPr>
          <w:rFonts w:hint="eastAsia"/>
        </w:rPr>
      </w:pPr>
      <w:r>
        <w:rPr>
          <w:noProof/>
          <w:lang w:eastAsia="en-US"/>
        </w:rPr>
        <w:drawing>
          <wp:inline distT="0" distB="0" distL="0" distR="0">
            <wp:extent cx="5177155" cy="2996565"/>
            <wp:effectExtent l="0" t="0" r="4445" b="635"/>
            <wp:docPr id="51" name="Picture 28"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4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77155" cy="2996565"/>
                    </a:xfrm>
                    <a:prstGeom prst="rect">
                      <a:avLst/>
                    </a:prstGeom>
                    <a:noFill/>
                    <a:ln>
                      <a:noFill/>
                    </a:ln>
                  </pic:spPr>
                </pic:pic>
              </a:graphicData>
            </a:graphic>
          </wp:inline>
        </w:drawing>
      </w:r>
    </w:p>
    <w:p w:rsidR="00FF6CCE" w:rsidRDefault="00FF6CCE" w:rsidP="00FF6CCE">
      <w:pPr>
        <w:pStyle w:val="a3"/>
        <w:numPr>
          <w:ilvl w:val="0"/>
          <w:numId w:val="11"/>
        </w:numPr>
        <w:tabs>
          <w:tab w:val="left" w:pos="1928"/>
        </w:tabs>
        <w:ind w:left="900" w:hanging="480"/>
      </w:pPr>
      <w:bookmarkStart w:id="309" w:name="_Toc392513096"/>
      <w:r>
        <w:rPr>
          <w:rFonts w:cs="宋体" w:hint="eastAsia"/>
        </w:rPr>
        <w:t>为削减太阳能成本而制订的射日计划</w:t>
      </w:r>
      <w:bookmarkEnd w:id="309"/>
    </w:p>
    <w:p w:rsidR="00FF6CCE" w:rsidRDefault="00FF6CCE" w:rsidP="00FF6CCE">
      <w:pPr>
        <w:pStyle w:val="a2"/>
        <w:ind w:left="840"/>
      </w:pPr>
      <w:r>
        <w:rPr>
          <w:rFonts w:hint="eastAsia"/>
        </w:rPr>
        <w:t>（来源</w:t>
      </w:r>
      <w:r>
        <w:t xml:space="preserve">: </w:t>
      </w:r>
      <w:r>
        <w:fldChar w:fldCharType="begin"/>
      </w:r>
      <w:r>
        <w:instrText xml:space="preserve"> ADDIN ZOTERO_ITEM CSL_CITATION {"citationID":"frWSwXb4","properties":{"formattedCitation":"(Danielson 2013)","plainCitation":"(Danielson 2013)"},"citationItems":[{"id":4791,"uris":["http://zotero.org/users/454657/items/P9JZ9PI2"],"uri":["http://zotero.org/users/454657/items/P9JZ9PI2"],"itemData":{"id":4791,"type":"speech","title":"FY 2014 Budget Rollout","URL":"http://www1.eere.energy.gov/office_eere/pdfs/budget/fy2014_eere_congressional_budget_request.pdf","author":[{"family":"Danielson","given":"David"}],"issued":{"date-parts":[["2013",4,10]]}}}],"schema":"https://github.com/citation-style-language/schema/raw/master/csl-citation.json"} </w:instrText>
      </w:r>
      <w:r>
        <w:fldChar w:fldCharType="separate"/>
      </w:r>
      <w:r>
        <w:t>Danielson 2013.</w:t>
      </w:r>
      <w:r>
        <w:fldChar w:fldCharType="end"/>
      </w:r>
      <w:r>
        <w:rPr>
          <w:rFonts w:hint="eastAsia"/>
        </w:rPr>
        <w:t>）</w:t>
      </w:r>
    </w:p>
    <w:p w:rsidR="00FF6CCE" w:rsidRDefault="00FF6CCE" w:rsidP="00FF6CCE">
      <w:pPr>
        <w:ind w:firstLine="480"/>
      </w:pPr>
      <w:r>
        <w:rPr>
          <w:rFonts w:hint="eastAsia"/>
        </w:rPr>
        <w:t>射日计划通过一系列方式向太阳能技术开发提供资金扶持。它提供过渡补助金，但也举行有奖竞赛。例如，“美国最可支付得起的屋顶太阳能装置大赛”为各团队提出的挑战是通过向前三名能够以每瓦</w:t>
      </w:r>
      <w:r>
        <w:t>2</w:t>
      </w:r>
      <w:r>
        <w:rPr>
          <w:rFonts w:hint="eastAsia"/>
        </w:rPr>
        <w:t>美元的平均价格安装</w:t>
      </w:r>
      <w:r>
        <w:t>5000</w:t>
      </w:r>
      <w:r>
        <w:rPr>
          <w:rFonts w:hint="eastAsia"/>
        </w:rPr>
        <w:t>个屋顶太阳能光伏系统的团队提供总额为一千万美元的奖金，来刺激它们快速降低已经安装完毕的屋顶光伏系统的成本。竞赛的目的是“刺激公共</w:t>
      </w:r>
      <w:r>
        <w:t>-</w:t>
      </w:r>
      <w:r>
        <w:rPr>
          <w:rFonts w:hint="eastAsia"/>
        </w:rPr>
        <w:t>私营合作、原创性商业模式、创新形方法，创造百万家庭和商家能够承受得起太阳能。</w:t>
      </w:r>
      <w:r>
        <w:t xml:space="preserve"> </w:t>
      </w:r>
      <w:r>
        <w:rPr>
          <w:rFonts w:hint="eastAsia"/>
        </w:rPr>
        <w:t>此外，射日计划的孵化器计划专门培育那些“开发转型方案以便减少太阳能安装过程，如融资、批文、和检查“的初创公司。根据能源部报道，孵化器项目已经在为太阳能行业初创公司吸引后续投资方面创造了记录，每</w:t>
      </w:r>
      <w:r>
        <w:rPr>
          <w:rFonts w:hint="eastAsia"/>
        </w:rPr>
        <w:t>1</w:t>
      </w:r>
      <w:r>
        <w:rPr>
          <w:rFonts w:hint="eastAsia"/>
        </w:rPr>
        <w:t>美元的政府投入可吸引</w:t>
      </w:r>
      <w:r>
        <w:t>30</w:t>
      </w:r>
      <w:r>
        <w:rPr>
          <w:rFonts w:hint="eastAsia"/>
        </w:rPr>
        <w:t>美元的私营投资。</w:t>
      </w:r>
      <w:r>
        <w:t xml:space="preserve"> </w:t>
      </w:r>
      <w:r>
        <w:rPr>
          <w:rFonts w:hint="eastAsia"/>
        </w:rPr>
        <w:t>自</w:t>
      </w:r>
      <w:r>
        <w:t>2007</w:t>
      </w:r>
      <w:r>
        <w:rPr>
          <w:rFonts w:hint="eastAsia"/>
        </w:rPr>
        <w:t>年起已经在孵化器项目里投资了六千万美元，吸引了</w:t>
      </w:r>
      <w:r>
        <w:t>160</w:t>
      </w:r>
      <w:r>
        <w:rPr>
          <w:rFonts w:hint="eastAsia"/>
        </w:rPr>
        <w:t>亿美元私营投资。</w:t>
      </w:r>
    </w:p>
    <w:p w:rsidR="00FF6CCE" w:rsidRDefault="00FF6CCE" w:rsidP="00FF6CCE">
      <w:pPr>
        <w:pStyle w:val="Heading3"/>
        <w:numPr>
          <w:ilvl w:val="2"/>
          <w:numId w:val="1"/>
        </w:numPr>
        <w:tabs>
          <w:tab w:val="clear" w:pos="720"/>
        </w:tabs>
      </w:pPr>
      <w:bookmarkStart w:id="310" w:name="_Toc523"/>
      <w:bookmarkStart w:id="311" w:name="_Toc18542"/>
      <w:bookmarkStart w:id="312" w:name="_Toc392057063"/>
      <w:bookmarkStart w:id="313" w:name="_Toc392513037"/>
      <w:r>
        <w:rPr>
          <w:rFonts w:hint="eastAsia"/>
        </w:rPr>
        <w:t>美国下一代顶尖能源创新者计划</w:t>
      </w:r>
      <w:bookmarkEnd w:id="310"/>
      <w:bookmarkEnd w:id="311"/>
      <w:bookmarkEnd w:id="312"/>
      <w:bookmarkEnd w:id="313"/>
    </w:p>
    <w:p w:rsidR="00FF6CCE" w:rsidRDefault="00FF6CCE" w:rsidP="00FF6CCE">
      <w:pPr>
        <w:ind w:firstLine="480"/>
      </w:pPr>
      <w:r>
        <w:rPr>
          <w:rFonts w:hint="eastAsia"/>
        </w:rPr>
        <w:t>“美国的下一代顶尖能源创新者计划“始于</w:t>
      </w:r>
      <w:r>
        <w:t>2011</w:t>
      </w:r>
      <w:r>
        <w:rPr>
          <w:rFonts w:hint="eastAsia"/>
        </w:rPr>
        <w:t>年，旨在通过将实验室研发的无许可专利成果转给那些能够将该等成果转变为商业化产品的初创的能源公司，以促进国家实验室的能源创新成果商业化。</w:t>
      </w:r>
      <w:r>
        <w:t xml:space="preserve"> </w:t>
      </w:r>
      <w:r>
        <w:rPr>
          <w:rFonts w:hint="eastAsia"/>
        </w:rPr>
        <w:t>该项计划以</w:t>
      </w:r>
      <w:r>
        <w:t>1000</w:t>
      </w:r>
      <w:r>
        <w:rPr>
          <w:rFonts w:hint="eastAsia"/>
        </w:rPr>
        <w:t>美元最多三项专利的低价向初创公司提供国家实验室研发的无许可专利。初创公司可通过浏览能源部的在线能源创新窗口查到可提供的专利。该窗口还跟踪专利申请情况及能源部拥有的专利情况。该计划是模仿为大众所喜欢的美国真实电视秀的模式运行，公众可在线投票给他们最喜欢的初创公司。</w:t>
      </w:r>
    </w:p>
    <w:p w:rsidR="00FF6CCE" w:rsidRDefault="00FF6CCE" w:rsidP="00FF6CCE">
      <w:pPr>
        <w:pStyle w:val="Heading1"/>
        <w:tabs>
          <w:tab w:val="clear" w:pos="432"/>
        </w:tabs>
      </w:pPr>
      <w:bookmarkStart w:id="314" w:name="_Toc31520"/>
      <w:bookmarkStart w:id="315" w:name="_Toc18808"/>
      <w:bookmarkStart w:id="316" w:name="_Toc392057064"/>
      <w:bookmarkStart w:id="317" w:name="_Toc392513038"/>
      <w:r>
        <w:rPr>
          <w:rFonts w:hint="eastAsia"/>
        </w:rPr>
        <w:t>美国得到扶持的清洁能有创新成果</w:t>
      </w:r>
      <w:bookmarkEnd w:id="314"/>
      <w:bookmarkEnd w:id="315"/>
      <w:bookmarkEnd w:id="316"/>
      <w:bookmarkEnd w:id="317"/>
    </w:p>
    <w:p w:rsidR="00FF6CCE" w:rsidRDefault="00FF6CCE" w:rsidP="00FF6CCE">
      <w:pPr>
        <w:ind w:firstLine="480"/>
      </w:pPr>
      <w:r>
        <w:rPr>
          <w:rFonts w:hint="eastAsia"/>
        </w:rPr>
        <w:t>本章将回顾两项直接受益于美国政府进行的研发和示范项目的能源技术创新成果的案例。每个案例均强调了起步阶段公共财政对研发和示范提供的扶持的性质，包括那些吸引投资的项目，任何其它关键的资金来源，如风投资本或其它私营资本扶持，以及鼓励合作，刺激创新机构，包括大学、政府实验室、或私营公司。一个案例被用于说明美国政府的研发和示范项目所取得的成功，用另一个用以说明美国政府的研发和示范项目所遭受的失败。</w:t>
      </w:r>
      <w:r>
        <w:t xml:space="preserve"> </w:t>
      </w:r>
    </w:p>
    <w:p w:rsidR="00FF6CCE" w:rsidRDefault="00FF6CCE" w:rsidP="00FF6CCE">
      <w:pPr>
        <w:pStyle w:val="Heading2"/>
      </w:pPr>
      <w:bookmarkStart w:id="318" w:name="_Toc24034"/>
      <w:bookmarkStart w:id="319" w:name="_Toc26437"/>
      <w:bookmarkStart w:id="320" w:name="_Toc392057065"/>
      <w:bookmarkStart w:id="321" w:name="_Toc392513039"/>
      <w:r>
        <w:t xml:space="preserve">Solyndra </w:t>
      </w:r>
      <w:r>
        <w:rPr>
          <w:rFonts w:hint="eastAsia"/>
        </w:rPr>
        <w:t>公司和</w:t>
      </w:r>
      <w:r>
        <w:t xml:space="preserve"> 1705 </w:t>
      </w:r>
      <w:r>
        <w:rPr>
          <w:rFonts w:hint="eastAsia"/>
        </w:rPr>
        <w:t>贷款担保计划</w:t>
      </w:r>
      <w:bookmarkEnd w:id="318"/>
      <w:bookmarkEnd w:id="319"/>
      <w:bookmarkEnd w:id="320"/>
      <w:bookmarkEnd w:id="321"/>
    </w:p>
    <w:p w:rsidR="00FF6CCE" w:rsidRDefault="00FF6CCE" w:rsidP="00FF6CCE">
      <w:pPr>
        <w:ind w:firstLine="480"/>
      </w:pPr>
      <w:r>
        <w:t xml:space="preserve">Solyndra </w:t>
      </w:r>
      <w:r>
        <w:rPr>
          <w:rFonts w:hint="eastAsia"/>
        </w:rPr>
        <w:t>公司成立于</w:t>
      </w:r>
      <w:r>
        <w:t>2005</w:t>
      </w:r>
      <w:r>
        <w:rPr>
          <w:rFonts w:hint="eastAsia"/>
        </w:rPr>
        <w:t>年，总部设在加利福尼亚的</w:t>
      </w:r>
      <w:r>
        <w:t xml:space="preserve"> Fremont. </w:t>
      </w:r>
      <w:r>
        <w:rPr>
          <w:rFonts w:hint="eastAsia"/>
        </w:rPr>
        <w:t>其母公司为</w:t>
      </w:r>
      <w:r>
        <w:t>360</w:t>
      </w:r>
      <w:r>
        <w:rPr>
          <w:rFonts w:hint="eastAsia"/>
        </w:rPr>
        <w:t>度太阳能控股公司。</w:t>
      </w:r>
      <w:r>
        <w:t xml:space="preserve"> </w:t>
      </w:r>
      <w:r>
        <w:rPr>
          <w:rFonts w:hint="eastAsia"/>
        </w:rPr>
        <w:t>该公司已经开发了一项即使用了新颖技术又使用了新颖设计的太阳能光伏产品。该项技术是一张使用了铜铟镓联硒化合物</w:t>
      </w:r>
      <w:r>
        <w:t xml:space="preserve"> (CIGS) </w:t>
      </w:r>
      <w:r>
        <w:rPr>
          <w:rFonts w:hint="eastAsia"/>
        </w:rPr>
        <w:t>的薄膜技术，可替代其它如那些用铬媂化合物</w:t>
      </w:r>
      <w:r>
        <w:t xml:space="preserve"> (CdTe)</w:t>
      </w:r>
      <w:r>
        <w:rPr>
          <w:rFonts w:hint="eastAsia"/>
        </w:rPr>
        <w:t>制成的薄膜技术，，是一项有吸引力的，能够替代更多的传统的晶体硅的技术。该产品的形状是筒状的，而非通常的平板设计，目的是为平顶屋顶提供更低的装置成本（屋顶装置占联网的光伏市场的</w:t>
      </w:r>
      <w:r>
        <w:t>60%</w:t>
      </w:r>
      <w:r>
        <w:rPr>
          <w:rFonts w:hint="eastAsia"/>
        </w:rPr>
        <w:t>份额以上）。</w:t>
      </w:r>
      <w:r>
        <w:t xml:space="preserve"> </w:t>
      </w:r>
      <w:r>
        <w:rPr>
          <w:rFonts w:hint="eastAsia"/>
        </w:rPr>
        <w:t>薄膜光伏是晶体硅技术的潜在的、有竞争力的替代产品，因为它使用的原材料更少，效能更高。在实验室测试中，在所有薄膜技术中，</w:t>
      </w:r>
      <w:r>
        <w:t xml:space="preserve">CIGS </w:t>
      </w:r>
      <w:r>
        <w:rPr>
          <w:rFonts w:hint="eastAsia"/>
        </w:rPr>
        <w:t>薄膜技术所展示出的效能是最高的，在</w:t>
      </w:r>
      <w:r>
        <w:t xml:space="preserve"> NREL </w:t>
      </w:r>
      <w:r>
        <w:rPr>
          <w:rFonts w:hint="eastAsia"/>
        </w:rPr>
        <w:t>测试中其效能达到了</w:t>
      </w:r>
      <w:r>
        <w:t>20%</w:t>
      </w:r>
      <w:r>
        <w:rPr>
          <w:rFonts w:hint="eastAsia"/>
        </w:rPr>
        <w:t>。</w:t>
      </w:r>
      <w:r>
        <w:t xml:space="preserve"> </w:t>
      </w:r>
    </w:p>
    <w:p w:rsidR="00FF6CCE" w:rsidRDefault="00FF6CCE" w:rsidP="00FF6CCE">
      <w:pPr>
        <w:ind w:firstLine="480"/>
      </w:pPr>
      <w:r>
        <w:rPr>
          <w:rFonts w:hint="eastAsia"/>
        </w:rPr>
        <w:t>据行业报道，该公司从</w:t>
      </w:r>
      <w:r>
        <w:t>2008</w:t>
      </w:r>
      <w:r>
        <w:rPr>
          <w:rFonts w:hint="eastAsia"/>
        </w:rPr>
        <w:t>年的</w:t>
      </w:r>
      <w:r>
        <w:t>600</w:t>
      </w:r>
      <w:r>
        <w:rPr>
          <w:rFonts w:hint="eastAsia"/>
        </w:rPr>
        <w:t>万美元收入，增长到了</w:t>
      </w:r>
      <w:r>
        <w:t>2009</w:t>
      </w:r>
      <w:r>
        <w:rPr>
          <w:rFonts w:hint="eastAsia"/>
        </w:rPr>
        <w:t>年的</w:t>
      </w:r>
      <w:r>
        <w:t>1</w:t>
      </w:r>
      <w:r>
        <w:rPr>
          <w:rFonts w:hint="eastAsia"/>
        </w:rPr>
        <w:t>亿美元收入，有人预测其</w:t>
      </w:r>
      <w:r>
        <w:t>2010</w:t>
      </w:r>
      <w:r>
        <w:rPr>
          <w:rFonts w:hint="eastAsia"/>
        </w:rPr>
        <w:t>年至</w:t>
      </w:r>
      <w:r>
        <w:t>2015</w:t>
      </w:r>
      <w:r>
        <w:rPr>
          <w:rFonts w:hint="eastAsia"/>
        </w:rPr>
        <w:t>年的混合年增长率可达</w:t>
      </w:r>
      <w:r>
        <w:t>50%</w:t>
      </w:r>
      <w:r>
        <w:rPr>
          <w:rFonts w:hint="eastAsia"/>
        </w:rPr>
        <w:t>。</w:t>
      </w:r>
      <w:r>
        <w:t xml:space="preserve">Solyndra </w:t>
      </w:r>
      <w:r>
        <w:rPr>
          <w:rFonts w:hint="eastAsia"/>
        </w:rPr>
        <w:t>公司生产的光伏板的安装成本据说在每瓦</w:t>
      </w:r>
      <w:r>
        <w:t>0.5</w:t>
      </w:r>
      <w:r>
        <w:rPr>
          <w:rFonts w:hint="eastAsia"/>
        </w:rPr>
        <w:t>美元至</w:t>
      </w:r>
      <w:r>
        <w:t>0.75</w:t>
      </w:r>
      <w:r>
        <w:rPr>
          <w:rFonts w:hint="eastAsia"/>
        </w:rPr>
        <w:t>美元之间，或是平板形状的太阳能板的成本的一半。</w:t>
      </w:r>
      <w:r>
        <w:t xml:space="preserve">Solyndra </w:t>
      </w:r>
      <w:r>
        <w:rPr>
          <w:rFonts w:hint="eastAsia"/>
        </w:rPr>
        <w:t>公司想要进入主要由晶体硅技术提供方，包括许多低成本的中国公司所占领的市场（</w:t>
      </w:r>
      <w:r>
        <w:t>2008</w:t>
      </w:r>
      <w:r>
        <w:rPr>
          <w:rFonts w:hint="eastAsia"/>
        </w:rPr>
        <w:t>年全球市场的</w:t>
      </w:r>
      <w:r>
        <w:t>86%</w:t>
      </w:r>
      <w:r>
        <w:rPr>
          <w:rFonts w:hint="eastAsia"/>
        </w:rPr>
        <w:t>是由晶体硅太阳能板），事实证明，当</w:t>
      </w:r>
      <w:r>
        <w:t xml:space="preserve"> 2009</w:t>
      </w:r>
      <w:r>
        <w:rPr>
          <w:rFonts w:hint="eastAsia"/>
        </w:rPr>
        <w:t>年至</w:t>
      </w:r>
      <w:r>
        <w:t>2011</w:t>
      </w:r>
      <w:r>
        <w:rPr>
          <w:rFonts w:hint="eastAsia"/>
        </w:rPr>
        <w:t>年期间，多晶硅成本下降了</w:t>
      </w:r>
      <w:r>
        <w:t>89%</w:t>
      </w:r>
      <w:r>
        <w:rPr>
          <w:rFonts w:hint="eastAsia"/>
        </w:rPr>
        <w:t>时，这是特别的挑战。</w:t>
      </w:r>
    </w:p>
    <w:p w:rsidR="00FF6CCE" w:rsidRDefault="00FF6CCE" w:rsidP="00FF6CCE">
      <w:pPr>
        <w:ind w:firstLine="480"/>
        <w:rPr>
          <w:rFonts w:hint="eastAsia"/>
        </w:rPr>
      </w:pPr>
      <w:r>
        <w:t>2011</w:t>
      </w:r>
      <w:r>
        <w:rPr>
          <w:rFonts w:hint="eastAsia"/>
        </w:rPr>
        <w:t>年</w:t>
      </w:r>
      <w:r>
        <w:t>8</w:t>
      </w:r>
      <w:r>
        <w:rPr>
          <w:rFonts w:hint="eastAsia"/>
        </w:rPr>
        <w:t>月</w:t>
      </w:r>
      <w:r>
        <w:t>31</w:t>
      </w:r>
      <w:r>
        <w:rPr>
          <w:rFonts w:hint="eastAsia"/>
        </w:rPr>
        <w:t>日，有报道说</w:t>
      </w:r>
      <w:r>
        <w:t xml:space="preserve"> Solyndra </w:t>
      </w:r>
      <w:r>
        <w:rPr>
          <w:rFonts w:hint="eastAsia"/>
        </w:rPr>
        <w:t>公司突然关闭了其运营，并在其开始申请破产保护时裁员。</w:t>
      </w:r>
      <w:r>
        <w:t xml:space="preserve"> Solyndra </w:t>
      </w:r>
      <w:r>
        <w:rPr>
          <w:rFonts w:hint="eastAsia"/>
        </w:rPr>
        <w:t>公司在</w:t>
      </w:r>
      <w:r>
        <w:t>2011</w:t>
      </w:r>
      <w:r>
        <w:rPr>
          <w:rFonts w:hint="eastAsia"/>
        </w:rPr>
        <w:t>年</w:t>
      </w:r>
      <w:r>
        <w:t>10</w:t>
      </w:r>
      <w:r>
        <w:rPr>
          <w:rFonts w:hint="eastAsia"/>
        </w:rPr>
        <w:t>月申请破产保护时总共拥有</w:t>
      </w:r>
      <w:r>
        <w:t>1100</w:t>
      </w:r>
      <w:r>
        <w:rPr>
          <w:rFonts w:hint="eastAsia"/>
        </w:rPr>
        <w:t>名雇员，登记的资产额为</w:t>
      </w:r>
      <w:r>
        <w:t xml:space="preserve"> 8.541 </w:t>
      </w:r>
      <w:r>
        <w:rPr>
          <w:rFonts w:hint="eastAsia"/>
        </w:rPr>
        <w:t>亿美元，负债</w:t>
      </w:r>
      <w:r>
        <w:t xml:space="preserve"> 8.671</w:t>
      </w:r>
      <w:r>
        <w:rPr>
          <w:rFonts w:hint="eastAsia"/>
        </w:rPr>
        <w:t>亿美元。</w:t>
      </w:r>
    </w:p>
    <w:p w:rsidR="00FF6CCE" w:rsidRDefault="00FF6CCE" w:rsidP="00FF6CCE">
      <w:pPr>
        <w:ind w:firstLine="480"/>
      </w:pPr>
      <w:r>
        <w:rPr>
          <w:rFonts w:hint="eastAsia"/>
        </w:rPr>
        <w:t>Solyndra</w:t>
      </w:r>
      <w:r>
        <w:rPr>
          <w:rFonts w:hint="eastAsia"/>
        </w:rPr>
        <w:t>公司在向美国证券交易委员会（</w:t>
      </w:r>
      <w:r>
        <w:t>SEC</w:t>
      </w:r>
      <w:r>
        <w:rPr>
          <w:rFonts w:hint="eastAsia"/>
        </w:rPr>
        <w:t>）提出申请时表示了上市的意愿，但因</w:t>
      </w:r>
      <w:r>
        <w:t>2008</w:t>
      </w:r>
      <w:r>
        <w:rPr>
          <w:rFonts w:hint="eastAsia"/>
        </w:rPr>
        <w:t>年末公共股权市场行情下行，</w:t>
      </w:r>
      <w:r>
        <w:t xml:space="preserve">Solyndra </w:t>
      </w:r>
      <w:r>
        <w:rPr>
          <w:rFonts w:hint="eastAsia"/>
        </w:rPr>
        <w:t>公司未再跟进。因需要资金建立新的安装工厂，该公司向美国能源部申请了贷款担保，并于</w:t>
      </w:r>
      <w:r>
        <w:t>2009</w:t>
      </w:r>
      <w:r>
        <w:rPr>
          <w:rFonts w:hint="eastAsia"/>
        </w:rPr>
        <w:t>年</w:t>
      </w:r>
      <w:r>
        <w:t>3</w:t>
      </w:r>
      <w:r>
        <w:rPr>
          <w:rFonts w:hint="eastAsia"/>
        </w:rPr>
        <w:t>月得到了</w:t>
      </w:r>
      <w:r>
        <w:t>5.35</w:t>
      </w:r>
      <w:r>
        <w:rPr>
          <w:rFonts w:hint="eastAsia"/>
        </w:rPr>
        <w:t>亿美元的联邦贷款担保。</w:t>
      </w:r>
    </w:p>
    <w:p w:rsidR="00FF6CCE" w:rsidRDefault="00FF6CCE" w:rsidP="00FF6CCE">
      <w:pPr>
        <w:ind w:firstLine="480"/>
      </w:pPr>
      <w:r>
        <w:rPr>
          <w:rFonts w:hint="eastAsia"/>
        </w:rPr>
        <w:t>根据能源部的信息，在申请联邦贷款担保时，</w:t>
      </w:r>
      <w:r>
        <w:t xml:space="preserve">Solyndra </w:t>
      </w:r>
      <w:r>
        <w:rPr>
          <w:rFonts w:hint="eastAsia"/>
        </w:rPr>
        <w:t>公司估计他们的新制造设施将要雇用</w:t>
      </w:r>
      <w:r>
        <w:t>3000</w:t>
      </w:r>
      <w:r>
        <w:rPr>
          <w:rFonts w:hint="eastAsia"/>
        </w:rPr>
        <w:t>人，而且该设施的运行可创造</w:t>
      </w:r>
      <w:r>
        <w:t>1000</w:t>
      </w:r>
      <w:r>
        <w:rPr>
          <w:rFonts w:hint="eastAsia"/>
        </w:rPr>
        <w:t>个新岗位，还不包括光伏板在全美国安装时能创造出的数以千计的新工作岗位。</w:t>
      </w:r>
      <w:r>
        <w:t xml:space="preserve"> </w:t>
      </w:r>
      <w:r>
        <w:rPr>
          <w:rFonts w:hint="eastAsia"/>
        </w:rPr>
        <w:t>此外，</w:t>
      </w:r>
      <w:r>
        <w:t xml:space="preserve">Solyndra </w:t>
      </w:r>
      <w:r>
        <w:rPr>
          <w:rFonts w:hint="eastAsia"/>
        </w:rPr>
        <w:t>公司承诺该项技术的商业化生产将会导致这些影响在许多待建的其它制造工厂得以复制。</w:t>
      </w:r>
    </w:p>
    <w:p w:rsidR="00FF6CCE" w:rsidRDefault="00FF6CCE" w:rsidP="00FF6CCE">
      <w:pPr>
        <w:ind w:firstLine="480"/>
      </w:pPr>
      <w:r>
        <w:rPr>
          <w:rFonts w:hint="eastAsia"/>
        </w:rPr>
        <w:t>朱部长原定于</w:t>
      </w:r>
      <w:r>
        <w:t>2009</w:t>
      </w:r>
      <w:r>
        <w:rPr>
          <w:rFonts w:hint="eastAsia"/>
        </w:rPr>
        <w:t>年</w:t>
      </w:r>
      <w:r>
        <w:t>1</w:t>
      </w:r>
      <w:r>
        <w:rPr>
          <w:rFonts w:hint="eastAsia"/>
        </w:rPr>
        <w:t>月为</w:t>
      </w:r>
      <w:r>
        <w:t xml:space="preserve">Solyndra </w:t>
      </w:r>
      <w:r>
        <w:rPr>
          <w:rFonts w:hint="eastAsia"/>
        </w:rPr>
        <w:t>公司在该年</w:t>
      </w:r>
      <w:r>
        <w:t>5</w:t>
      </w:r>
      <w:r>
        <w:rPr>
          <w:rFonts w:hint="eastAsia"/>
        </w:rPr>
        <w:t>月份提供贷款担保承诺，但能源部将时间提前，并在</w:t>
      </w:r>
      <w:r>
        <w:t>3</w:t>
      </w:r>
      <w:r>
        <w:rPr>
          <w:rFonts w:hint="eastAsia"/>
        </w:rPr>
        <w:t>月中批准。能源部表扬了该部的贷款团队“能够在不到两个月内加快处理此项有条件的承诺，展示了团队工作的力量以及在排除阻碍成功的障碍方面能源部工作的速度。”</w:t>
      </w:r>
      <w:r>
        <w:t xml:space="preserve"> </w:t>
      </w:r>
      <w:r>
        <w:rPr>
          <w:rFonts w:hint="eastAsia"/>
        </w:rPr>
        <w:t>然而，在</w:t>
      </w:r>
      <w:r>
        <w:t>Solyndra</w:t>
      </w:r>
      <w:r>
        <w:rPr>
          <w:rFonts w:hint="eastAsia"/>
        </w:rPr>
        <w:t>公司令人震惊的倒塌以后，该项贷款被快速的担保批准一直受到质疑。</w:t>
      </w:r>
    </w:p>
    <w:p w:rsidR="00FF6CCE" w:rsidRDefault="00FF6CCE" w:rsidP="00FF6CCE">
      <w:pPr>
        <w:ind w:firstLine="480"/>
      </w:pPr>
      <w:r>
        <w:rPr>
          <w:rFonts w:hint="eastAsia"/>
        </w:rPr>
        <w:t>据报道，</w:t>
      </w:r>
      <w:r>
        <w:t xml:space="preserve">Solyndra </w:t>
      </w:r>
      <w:r>
        <w:rPr>
          <w:rFonts w:hint="eastAsia"/>
        </w:rPr>
        <w:t>公司还在许多私营投资者的支持中受益，包括</w:t>
      </w:r>
      <w:r>
        <w:t xml:space="preserve"> Argonaut, </w:t>
      </w:r>
      <w:r>
        <w:rPr>
          <w:rFonts w:hint="eastAsia"/>
        </w:rPr>
        <w:t>亿万富翁的投资工具及奥巴马竞选筹资人乔治凯撒的慈善组织</w:t>
      </w:r>
      <w:r>
        <w:t xml:space="preserve"> </w:t>
      </w:r>
      <w:r>
        <w:rPr>
          <w:rFonts w:hint="eastAsia"/>
        </w:rPr>
        <w:t>沃尔顿家族（沃尔玛的拥有人）在内，</w:t>
      </w:r>
      <w:r>
        <w:rPr>
          <w:rFonts w:hint="eastAsia"/>
        </w:rPr>
        <w:t>Solyndra</w:t>
      </w:r>
      <w:r>
        <w:rPr>
          <w:rFonts w:hint="eastAsia"/>
        </w:rPr>
        <w:t>得到的扶持总额约为</w:t>
      </w:r>
      <w:r>
        <w:t>10</w:t>
      </w:r>
      <w:r>
        <w:rPr>
          <w:rFonts w:hint="eastAsia"/>
        </w:rPr>
        <w:t>亿美元。</w:t>
      </w:r>
    </w:p>
    <w:p w:rsidR="00FF6CCE" w:rsidRDefault="00FF6CCE" w:rsidP="00FF6CCE">
      <w:pPr>
        <w:ind w:firstLine="480"/>
      </w:pPr>
      <w:r>
        <w:t>2012</w:t>
      </w:r>
      <w:r>
        <w:rPr>
          <w:rFonts w:hint="eastAsia"/>
        </w:rPr>
        <w:t>年</w:t>
      </w:r>
      <w:r>
        <w:t>10</w:t>
      </w:r>
      <w:r>
        <w:rPr>
          <w:rFonts w:hint="eastAsia"/>
        </w:rPr>
        <w:t>月，</w:t>
      </w:r>
      <w:r>
        <w:t xml:space="preserve">Solyndra </w:t>
      </w:r>
      <w:r>
        <w:rPr>
          <w:rFonts w:hint="eastAsia"/>
        </w:rPr>
        <w:t>公司宣布他们正在起诉三家在美国经营的中国太阳能公司，</w:t>
      </w:r>
      <w:r>
        <w:t xml:space="preserve"> Suntech</w:t>
      </w:r>
      <w:r>
        <w:rPr>
          <w:rFonts w:hint="eastAsia"/>
        </w:rPr>
        <w:t>，</w:t>
      </w:r>
      <w:r>
        <w:t xml:space="preserve">Trina </w:t>
      </w:r>
      <w:r>
        <w:rPr>
          <w:rFonts w:hint="eastAsia"/>
        </w:rPr>
        <w:t>和</w:t>
      </w:r>
      <w:r>
        <w:t xml:space="preserve"> </w:t>
      </w:r>
      <w:r>
        <w:rPr>
          <w:rFonts w:hint="eastAsia"/>
        </w:rPr>
        <w:t>英利，他们声称该三家公司利用了掠夺式定价政策破坏竞争。</w:t>
      </w:r>
    </w:p>
    <w:p w:rsidR="00FF6CCE" w:rsidRDefault="00FF6CCE" w:rsidP="00FF6CCE">
      <w:pPr>
        <w:pStyle w:val="Heading2"/>
      </w:pPr>
      <w:bookmarkStart w:id="322" w:name="_Toc26059"/>
      <w:bookmarkStart w:id="323" w:name="_Toc8591"/>
      <w:bookmarkStart w:id="324" w:name="_Toc392057066"/>
      <w:bookmarkStart w:id="325" w:name="_Toc392513040"/>
      <w:r>
        <w:t>1366</w:t>
      </w:r>
      <w:r>
        <w:rPr>
          <w:rFonts w:hint="eastAsia"/>
        </w:rPr>
        <w:t>技术计划：将</w:t>
      </w:r>
      <w:r>
        <w:t>ARPA-E</w:t>
      </w:r>
      <w:r>
        <w:rPr>
          <w:rFonts w:hint="eastAsia"/>
        </w:rPr>
        <w:t>计划、贷款担保计划和射日计划与大学研发相结合</w:t>
      </w:r>
      <w:bookmarkEnd w:id="322"/>
      <w:bookmarkEnd w:id="323"/>
      <w:bookmarkEnd w:id="324"/>
      <w:bookmarkEnd w:id="325"/>
    </w:p>
    <w:p w:rsidR="00FF6CCE" w:rsidRDefault="00FF6CCE" w:rsidP="00FF6CCE">
      <w:pPr>
        <w:ind w:firstLine="480"/>
      </w:pPr>
      <w:r>
        <w:t xml:space="preserve">1366 </w:t>
      </w:r>
      <w:r>
        <w:rPr>
          <w:rFonts w:hint="eastAsia"/>
        </w:rPr>
        <w:t>技术计划是麻省理工学院的</w:t>
      </w:r>
      <w:r>
        <w:t xml:space="preserve">Emanuel </w:t>
      </w:r>
      <w:r>
        <w:rPr>
          <w:rFonts w:hint="eastAsia"/>
        </w:rPr>
        <w:t>教授和</w:t>
      </w:r>
      <w:r>
        <w:t xml:space="preserve"> Tonio Buonassisi </w:t>
      </w:r>
      <w:r>
        <w:rPr>
          <w:rFonts w:hint="eastAsia"/>
        </w:rPr>
        <w:t>教授的实验室进行的研究成果的副产品。</w:t>
      </w:r>
      <w:r>
        <w:t xml:space="preserve"> </w:t>
      </w:r>
      <w:r>
        <w:rPr>
          <w:rFonts w:hint="eastAsia"/>
        </w:rPr>
        <w:t>该公司位于麻省莱克星顿，正在开发使硅太阳能电池更加有效的技术。例如，阻止进入通用硅太阳能电池的光被反射出去，和防止硅中的污染物或缺陷把电子窝住。</w:t>
      </w:r>
    </w:p>
    <w:p w:rsidR="00FF6CCE" w:rsidRDefault="00FF6CCE" w:rsidP="00FF6CCE">
      <w:pPr>
        <w:ind w:firstLine="480"/>
      </w:pPr>
      <w:r>
        <w:t>2009</w:t>
      </w:r>
      <w:r>
        <w:rPr>
          <w:rFonts w:hint="eastAsia"/>
        </w:rPr>
        <w:t>年</w:t>
      </w:r>
      <w:r>
        <w:t>10</w:t>
      </w:r>
      <w:r>
        <w:rPr>
          <w:rFonts w:hint="eastAsia"/>
        </w:rPr>
        <w:t>月，</w:t>
      </w:r>
      <w:r>
        <w:t xml:space="preserve"> 1366 </w:t>
      </w:r>
      <w:r>
        <w:rPr>
          <w:rFonts w:hint="eastAsia"/>
        </w:rPr>
        <w:t>技术计划获得了</w:t>
      </w:r>
      <w:r>
        <w:t xml:space="preserve"> ARPA-E </w:t>
      </w:r>
      <w:r>
        <w:rPr>
          <w:rFonts w:hint="eastAsia"/>
        </w:rPr>
        <w:t>项目的四百万美元资助，期限从</w:t>
      </w:r>
      <w:r>
        <w:t>2010</w:t>
      </w:r>
      <w:r>
        <w:rPr>
          <w:rFonts w:hint="eastAsia"/>
        </w:rPr>
        <w:t>年</w:t>
      </w:r>
      <w:r>
        <w:t>3</w:t>
      </w:r>
      <w:r>
        <w:rPr>
          <w:rFonts w:hint="eastAsia"/>
        </w:rPr>
        <w:t>月</w:t>
      </w:r>
      <w:r>
        <w:t>1</w:t>
      </w:r>
      <w:r>
        <w:rPr>
          <w:rFonts w:hint="eastAsia"/>
        </w:rPr>
        <w:t>日延长至</w:t>
      </w:r>
      <w:r>
        <w:t>2012</w:t>
      </w:r>
      <w:r>
        <w:rPr>
          <w:rFonts w:hint="eastAsia"/>
        </w:rPr>
        <w:t>年</w:t>
      </w:r>
      <w:r>
        <w:t>6</w:t>
      </w:r>
      <w:r>
        <w:rPr>
          <w:rFonts w:hint="eastAsia"/>
        </w:rPr>
        <w:t>月</w:t>
      </w:r>
      <w:r>
        <w:t>30</w:t>
      </w:r>
      <w:r>
        <w:rPr>
          <w:rFonts w:hint="eastAsia"/>
        </w:rPr>
        <w:t>日，并与</w:t>
      </w:r>
      <w:r>
        <w:t xml:space="preserve">Buonassisi </w:t>
      </w:r>
      <w:r>
        <w:rPr>
          <w:rFonts w:hint="eastAsia"/>
        </w:rPr>
        <w:t>教授领导的麻省理工学院实验室合作。</w:t>
      </w:r>
      <w:r>
        <w:t xml:space="preserve"> ARPA-E</w:t>
      </w:r>
      <w:r>
        <w:rPr>
          <w:rFonts w:hint="eastAsia"/>
        </w:rPr>
        <w:t>资助集中扶持为</w:t>
      </w:r>
      <w:r>
        <w:t>1366</w:t>
      </w:r>
      <w:r>
        <w:rPr>
          <w:rFonts w:hint="eastAsia"/>
        </w:rPr>
        <w:t>的一项能够以工业标准的尺寸直接从熔化了的硅生产出薄片，从而避免因将大块硅晶体切成薄片，使得一半的硅晶体变成尘埃这一昂贵过程的技术开发。</w:t>
      </w:r>
    </w:p>
    <w:p w:rsidR="00FF6CCE" w:rsidRDefault="00FF6CCE" w:rsidP="00FF6CCE">
      <w:pPr>
        <w:ind w:firstLine="480"/>
      </w:pPr>
      <w:r>
        <w:rPr>
          <w:rFonts w:hint="eastAsia"/>
        </w:rPr>
        <w:t>继</w:t>
      </w:r>
      <w:r>
        <w:t xml:space="preserve">ARPA-E </w:t>
      </w:r>
      <w:r>
        <w:rPr>
          <w:rFonts w:hint="eastAsia"/>
        </w:rPr>
        <w:t>资助之后，</w:t>
      </w:r>
      <w:r>
        <w:t>2010</w:t>
      </w:r>
      <w:r>
        <w:rPr>
          <w:rFonts w:hint="eastAsia"/>
        </w:rPr>
        <w:t>年</w:t>
      </w:r>
      <w:r>
        <w:t>10</w:t>
      </w:r>
      <w:r>
        <w:rPr>
          <w:rFonts w:hint="eastAsia"/>
        </w:rPr>
        <w:t>月，</w:t>
      </w:r>
      <w:r>
        <w:t>1366</w:t>
      </w:r>
      <w:r>
        <w:rPr>
          <w:rFonts w:hint="eastAsia"/>
        </w:rPr>
        <w:t>技术计划宣布其在</w:t>
      </w:r>
      <w:r>
        <w:t xml:space="preserve"> Hanwha </w:t>
      </w:r>
      <w:r>
        <w:rPr>
          <w:rFonts w:hint="eastAsia"/>
        </w:rPr>
        <w:t>化学公司及</w:t>
      </w:r>
      <w:r>
        <w:t xml:space="preserve"> Ventizz </w:t>
      </w:r>
      <w:r>
        <w:rPr>
          <w:rFonts w:hint="eastAsia"/>
        </w:rPr>
        <w:t>资本基金、以及</w:t>
      </w:r>
      <w:r>
        <w:t xml:space="preserve"> North Bridge </w:t>
      </w:r>
      <w:r>
        <w:rPr>
          <w:rFonts w:hint="eastAsia"/>
        </w:rPr>
        <w:t>风险资本合伙人和</w:t>
      </w:r>
      <w:r>
        <w:t xml:space="preserve"> </w:t>
      </w:r>
      <w:r>
        <w:rPr>
          <w:rFonts w:hint="eastAsia"/>
        </w:rPr>
        <w:t>麻省的</w:t>
      </w:r>
      <w:r>
        <w:t xml:space="preserve"> Waltham </w:t>
      </w:r>
      <w:r>
        <w:rPr>
          <w:rFonts w:hint="eastAsia"/>
        </w:rPr>
        <w:t>的</w:t>
      </w:r>
      <w:r>
        <w:t xml:space="preserve">Polaris </w:t>
      </w:r>
      <w:r>
        <w:rPr>
          <w:rFonts w:hint="eastAsia"/>
        </w:rPr>
        <w:t>风险资本合伙人的帮助下，已经筹集到了两千万美元用以将其新技术从实验室应用于工厂生产。</w:t>
      </w:r>
      <w:r>
        <w:t xml:space="preserve"> 2011</w:t>
      </w:r>
      <w:r>
        <w:rPr>
          <w:rFonts w:hint="eastAsia"/>
        </w:rPr>
        <w:t>年</w:t>
      </w:r>
      <w:r>
        <w:t>3</w:t>
      </w:r>
      <w:r>
        <w:rPr>
          <w:rFonts w:hint="eastAsia"/>
        </w:rPr>
        <w:t>月，该公司宣布其又从通用电气公司能源金融部、</w:t>
      </w:r>
      <w:r>
        <w:t xml:space="preserve">VantagePoint </w:t>
      </w:r>
      <w:r>
        <w:rPr>
          <w:rFonts w:hint="eastAsia"/>
        </w:rPr>
        <w:t>风险资本合伙人、</w:t>
      </w:r>
      <w:r>
        <w:t xml:space="preserve">Hanwha </w:t>
      </w:r>
      <w:r>
        <w:rPr>
          <w:rFonts w:hint="eastAsia"/>
        </w:rPr>
        <w:t>化学公司、以及几家其它公司那里获得了</w:t>
      </w:r>
      <w:r>
        <w:t>840</w:t>
      </w:r>
      <w:r>
        <w:rPr>
          <w:rFonts w:hint="eastAsia"/>
        </w:rPr>
        <w:t>万美元的投资，使该公司的筹资总额接近了</w:t>
      </w:r>
      <w:r>
        <w:t>4600</w:t>
      </w:r>
      <w:r>
        <w:rPr>
          <w:rFonts w:hint="eastAsia"/>
        </w:rPr>
        <w:t>万美元。</w:t>
      </w:r>
    </w:p>
    <w:p w:rsidR="00FF6CCE" w:rsidRDefault="00FF6CCE" w:rsidP="00FF6CCE">
      <w:pPr>
        <w:ind w:firstLine="480"/>
      </w:pPr>
      <w:r>
        <w:t>2011</w:t>
      </w:r>
      <w:r>
        <w:rPr>
          <w:rFonts w:hint="eastAsia"/>
        </w:rPr>
        <w:t>年</w:t>
      </w:r>
      <w:r>
        <w:t>9</w:t>
      </w:r>
      <w:r>
        <w:rPr>
          <w:rFonts w:hint="eastAsia"/>
        </w:rPr>
        <w:t>月，</w:t>
      </w:r>
      <w:r>
        <w:t>1366</w:t>
      </w:r>
      <w:r>
        <w:rPr>
          <w:rFonts w:hint="eastAsia"/>
        </w:rPr>
        <w:t>技术计划获得了</w:t>
      </w:r>
      <w:r>
        <w:t xml:space="preserve">1705 </w:t>
      </w:r>
      <w:r>
        <w:rPr>
          <w:rFonts w:hint="eastAsia"/>
        </w:rPr>
        <w:t>计划项下</w:t>
      </w:r>
      <w:r>
        <w:t>1.5</w:t>
      </w:r>
      <w:r>
        <w:rPr>
          <w:rFonts w:hint="eastAsia"/>
        </w:rPr>
        <w:t>亿美元贷款担保（见表</w:t>
      </w:r>
      <w:r>
        <w:t>6</w:t>
      </w:r>
      <w:r>
        <w:rPr>
          <w:rFonts w:hint="eastAsia"/>
        </w:rPr>
        <w:t>）。</w:t>
      </w:r>
      <w:r>
        <w:t xml:space="preserve"> </w:t>
      </w:r>
      <w:r>
        <w:rPr>
          <w:rFonts w:hint="eastAsia"/>
        </w:rPr>
        <w:t>该笔贷款是用于</w:t>
      </w:r>
      <w:r>
        <w:t>1366</w:t>
      </w:r>
      <w:r>
        <w:rPr>
          <w:rFonts w:hint="eastAsia"/>
        </w:rPr>
        <w:t>技术计划建造两座制造工厂。建造该两座工厂预计可提供</w:t>
      </w:r>
      <w:r>
        <w:t>50</w:t>
      </w:r>
      <w:r>
        <w:rPr>
          <w:rFonts w:hint="eastAsia"/>
        </w:rPr>
        <w:t>个建筑工作岗位和</w:t>
      </w:r>
      <w:r>
        <w:t>70</w:t>
      </w:r>
      <w:r>
        <w:rPr>
          <w:rFonts w:hint="eastAsia"/>
        </w:rPr>
        <w:t>个永久性工作岗位。第一座商业化的工厂的建筑面积为</w:t>
      </w:r>
      <w:r>
        <w:t xml:space="preserve"> 42,000</w:t>
      </w:r>
      <w:r>
        <w:rPr>
          <w:rFonts w:hint="eastAsia"/>
        </w:rPr>
        <w:t>平方英尺，制造容量为</w:t>
      </w:r>
      <w:r>
        <w:t xml:space="preserve"> 25</w:t>
      </w:r>
      <w:r>
        <w:rPr>
          <w:rFonts w:hint="eastAsia"/>
        </w:rPr>
        <w:t>兆瓦，位于麻省的</w:t>
      </w:r>
      <w:r>
        <w:t xml:space="preserve">Bedford, </w:t>
      </w:r>
      <w:r>
        <w:rPr>
          <w:rFonts w:hint="eastAsia"/>
        </w:rPr>
        <w:t>预计于</w:t>
      </w:r>
      <w:r>
        <w:t>2013</w:t>
      </w:r>
      <w:r>
        <w:rPr>
          <w:rFonts w:hint="eastAsia"/>
        </w:rPr>
        <w:t>年全部投入运营，而且的确于</w:t>
      </w:r>
      <w:r>
        <w:t>2013</w:t>
      </w:r>
      <w:r>
        <w:rPr>
          <w:rFonts w:hint="eastAsia"/>
        </w:rPr>
        <w:t>年</w:t>
      </w:r>
      <w:r>
        <w:t>1</w:t>
      </w:r>
      <w:r>
        <w:rPr>
          <w:rFonts w:hint="eastAsia"/>
        </w:rPr>
        <w:t>月开始运营。第二座工厂面积更大，制造容量为</w:t>
      </w:r>
      <w:r>
        <w:t xml:space="preserve"> 1,000 </w:t>
      </w:r>
      <w:r>
        <w:rPr>
          <w:rFonts w:hint="eastAsia"/>
        </w:rPr>
        <w:t>兆瓦，预计于</w:t>
      </w:r>
      <w:r>
        <w:t>2013</w:t>
      </w:r>
      <w:r>
        <w:rPr>
          <w:rFonts w:hint="eastAsia"/>
        </w:rPr>
        <w:t>年后期开工，</w:t>
      </w:r>
      <w:r>
        <w:t>2015</w:t>
      </w:r>
      <w:r>
        <w:rPr>
          <w:rFonts w:hint="eastAsia"/>
        </w:rPr>
        <w:t>年投入运营。</w:t>
      </w:r>
      <w:r>
        <w:t xml:space="preserve">. </w:t>
      </w:r>
    </w:p>
    <w:p w:rsidR="00FF6CCE" w:rsidRDefault="00FF6CCE" w:rsidP="00FF6CCE">
      <w:pPr>
        <w:ind w:firstLine="480"/>
      </w:pPr>
      <w:r>
        <w:t>2011</w:t>
      </w:r>
      <w:r>
        <w:rPr>
          <w:rFonts w:hint="eastAsia"/>
        </w:rPr>
        <w:t>年</w:t>
      </w:r>
      <w:r>
        <w:t>8</w:t>
      </w:r>
      <w:r>
        <w:rPr>
          <w:rFonts w:hint="eastAsia"/>
        </w:rPr>
        <w:t>月，</w:t>
      </w:r>
      <w:r>
        <w:t>1366</w:t>
      </w:r>
      <w:r>
        <w:rPr>
          <w:rFonts w:hint="eastAsia"/>
        </w:rPr>
        <w:t>技术计划获得了一笔名为</w:t>
      </w:r>
      <w:r>
        <w:t xml:space="preserve">SUNPATH </w:t>
      </w:r>
      <w:r>
        <w:rPr>
          <w:rFonts w:hint="eastAsia"/>
        </w:rPr>
        <w:t>的美国能源部制订的“射日”计划项下的拨款。该笔拨款提供的最高金额为</w:t>
      </w:r>
      <w:r>
        <w:t xml:space="preserve">6,999,959 </w:t>
      </w:r>
      <w:r>
        <w:rPr>
          <w:rFonts w:hint="eastAsia"/>
        </w:rPr>
        <w:t>美元，是用于配合金额为</w:t>
      </w:r>
      <w:r>
        <w:t xml:space="preserve">20,999,877 </w:t>
      </w:r>
      <w:r>
        <w:rPr>
          <w:rFonts w:hint="eastAsia"/>
        </w:rPr>
        <w:t>美元的私营投资，来建造该公司的首座商业规模的年制造容量为</w:t>
      </w:r>
      <w:r>
        <w:t>40</w:t>
      </w:r>
      <w:r>
        <w:rPr>
          <w:rFonts w:hint="eastAsia"/>
        </w:rPr>
        <w:t>兆瓦的生产线，可使</w:t>
      </w:r>
      <w:r>
        <w:t>1366</w:t>
      </w:r>
      <w:r>
        <w:rPr>
          <w:rFonts w:hint="eastAsia"/>
        </w:rPr>
        <w:t>技术计划将其现有的示范规模的工艺转化成一个制造容量足以用于学习和统计过程开发的规模。</w:t>
      </w:r>
      <w:r>
        <w:t xml:space="preserve"> </w:t>
      </w:r>
      <w:r>
        <w:rPr>
          <w:rFonts w:hint="eastAsia"/>
        </w:rPr>
        <w:t>该新工厂将建在麻省的莱克星顿。</w:t>
      </w:r>
    </w:p>
    <w:p w:rsidR="00FF6CCE" w:rsidRDefault="00FF6CCE" w:rsidP="00FF6CCE">
      <w:pPr>
        <w:ind w:firstLine="480"/>
      </w:pPr>
      <w:r>
        <w:rPr>
          <w:rFonts w:hint="eastAsia"/>
        </w:rPr>
        <w:t>尽管该公司仍在扩大和完善其创新成果，</w:t>
      </w:r>
      <w:r>
        <w:t>1366</w:t>
      </w:r>
      <w:r>
        <w:rPr>
          <w:rFonts w:hint="eastAsia"/>
        </w:rPr>
        <w:t>技术计划已经代表了能源部的成功故事之一，因为该计划已经获得了能源部提供的为研发和示范过程的各个阶段设计的资金扶持，而且已经成功地利用了这一公共财政的扶持来吸引私营资金投入。当技术仍处于早期阶段时，</w:t>
      </w:r>
      <w:r>
        <w:t xml:space="preserve">APRA-E </w:t>
      </w:r>
      <w:r>
        <w:rPr>
          <w:rFonts w:hint="eastAsia"/>
        </w:rPr>
        <w:t>提供的早期资金扶持帮助了该公司吸引风险资本扶持，而且最终得到了能源部根据</w:t>
      </w:r>
      <w:r>
        <w:t>1705</w:t>
      </w:r>
      <w:r>
        <w:rPr>
          <w:rFonts w:hint="eastAsia"/>
        </w:rPr>
        <w:t>计划提供的贷款担保，而该公司可利用该项担保吸引更多的私营资金投资。</w:t>
      </w:r>
      <w:r>
        <w:t>1366</w:t>
      </w:r>
      <w:r>
        <w:rPr>
          <w:rFonts w:hint="eastAsia"/>
        </w:rPr>
        <w:t>技术计划在过去四年获得的资金的来源和金额详见下图。</w:t>
      </w:r>
    </w:p>
    <w:p w:rsidR="00FF6CCE" w:rsidRDefault="00FF6CCE" w:rsidP="00FF6CCE">
      <w:pPr>
        <w:ind w:firstLine="480"/>
        <w:jc w:val="center"/>
      </w:pPr>
      <w:r>
        <w:rPr>
          <w:rFonts w:hint="eastAsia"/>
          <w:noProof/>
          <w:lang w:eastAsia="en-US"/>
        </w:rPr>
        <mc:AlternateContent>
          <mc:Choice Requires="wpg">
            <w:drawing>
              <wp:anchor distT="0" distB="0" distL="114300" distR="114300" simplePos="0" relativeHeight="251659264" behindDoc="0" locked="0" layoutInCell="1" allowOverlap="1">
                <wp:simplePos x="0" y="0"/>
                <wp:positionH relativeFrom="column">
                  <wp:posOffset>1450340</wp:posOffset>
                </wp:positionH>
                <wp:positionV relativeFrom="paragraph">
                  <wp:posOffset>128905</wp:posOffset>
                </wp:positionV>
                <wp:extent cx="3430270" cy="2587625"/>
                <wp:effectExtent l="15240" t="13335" r="8890" b="1524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0270" cy="2587625"/>
                          <a:chOff x="3724" y="1301"/>
                          <a:chExt cx="5402" cy="4075"/>
                        </a:xfrm>
                      </wpg:grpSpPr>
                      <wps:wsp>
                        <wps:cNvPr id="10" name="Text Box 3"/>
                        <wps:cNvSpPr txBox="1">
                          <a:spLocks noChangeArrowheads="1"/>
                        </wps:cNvSpPr>
                        <wps:spPr bwMode="auto">
                          <a:xfrm>
                            <a:off x="6246" y="1301"/>
                            <a:ext cx="2880" cy="3814"/>
                          </a:xfrm>
                          <a:prstGeom prst="rect">
                            <a:avLst/>
                          </a:prstGeom>
                          <a:solidFill>
                            <a:srgbClr val="00FF00"/>
                          </a:solidFill>
                          <a:ln w="25400">
                            <a:solidFill>
                              <a:srgbClr val="000000"/>
                            </a:solidFill>
                            <a:miter lim="800000"/>
                            <a:headEnd/>
                            <a:tailEnd/>
                          </a:ln>
                        </wps:spPr>
                        <wps:txbx>
                          <w:txbxContent>
                            <w:p w:rsidR="00B77118" w:rsidRDefault="00B77118" w:rsidP="00FF6CCE">
                              <w:pPr>
                                <w:rPr>
                                  <w:rFonts w:hint="eastAsia"/>
                                  <w:b/>
                                  <w:szCs w:val="21"/>
                                </w:rPr>
                              </w:pPr>
                            </w:p>
                            <w:p w:rsidR="00B77118" w:rsidRDefault="00B77118" w:rsidP="00FF6CCE">
                              <w:pPr>
                                <w:rPr>
                                  <w:rFonts w:hint="eastAsia"/>
                                  <w:b/>
                                  <w:szCs w:val="21"/>
                                </w:rPr>
                              </w:pPr>
                            </w:p>
                            <w:p w:rsidR="00B77118" w:rsidRDefault="00B77118" w:rsidP="00FF6CCE">
                              <w:pPr>
                                <w:rPr>
                                  <w:rFonts w:hint="eastAsia"/>
                                  <w:b/>
                                  <w:szCs w:val="21"/>
                                </w:rPr>
                              </w:pPr>
                            </w:p>
                            <w:p w:rsidR="00B77118" w:rsidRDefault="00B77118" w:rsidP="00FF6CCE">
                              <w:pPr>
                                <w:rPr>
                                  <w:rFonts w:hint="eastAsia"/>
                                  <w:b/>
                                  <w:szCs w:val="21"/>
                                </w:rPr>
                              </w:pPr>
                            </w:p>
                            <w:p w:rsidR="00B77118" w:rsidRPr="00F7649C" w:rsidRDefault="00B77118" w:rsidP="00FF6CCE">
                              <w:pPr>
                                <w:rPr>
                                  <w:rFonts w:hint="eastAsia"/>
                                  <w:b/>
                                  <w:szCs w:val="21"/>
                                </w:rPr>
                              </w:pPr>
                              <w:r w:rsidRPr="00F7649C">
                                <w:rPr>
                                  <w:rFonts w:hint="eastAsia"/>
                                  <w:b/>
                                  <w:szCs w:val="21"/>
                                </w:rPr>
                                <w:t>美国能源部贷款保证计划</w:t>
                              </w:r>
                            </w:p>
                          </w:txbxContent>
                        </wps:txbx>
                        <wps:bodyPr rot="0" vert="horz" wrap="square" lIns="91440" tIns="45720" rIns="91440" bIns="45720" anchor="t" anchorCtr="0" upright="1">
                          <a:noAutofit/>
                        </wps:bodyPr>
                      </wps:wsp>
                      <wps:wsp>
                        <wps:cNvPr id="11" name="Text Box 4"/>
                        <wps:cNvSpPr txBox="1">
                          <a:spLocks noChangeArrowheads="1"/>
                        </wps:cNvSpPr>
                        <wps:spPr bwMode="auto">
                          <a:xfrm>
                            <a:off x="3724" y="5093"/>
                            <a:ext cx="3780" cy="283"/>
                          </a:xfrm>
                          <a:prstGeom prst="rect">
                            <a:avLst/>
                          </a:prstGeom>
                          <a:solidFill>
                            <a:srgbClr val="CC99FF"/>
                          </a:solidFill>
                          <a:ln w="25400">
                            <a:solidFill>
                              <a:srgbClr val="000000"/>
                            </a:solidFill>
                            <a:miter lim="800000"/>
                            <a:headEnd/>
                            <a:tailEnd/>
                          </a:ln>
                        </wps:spPr>
                        <wps:txbx>
                          <w:txbxContent>
                            <w:p w:rsidR="00B77118" w:rsidRPr="00CE443B" w:rsidRDefault="00B77118" w:rsidP="00FF6CCE">
                              <w:pPr>
                                <w:jc w:val="center"/>
                                <w:rPr>
                                  <w:rFonts w:hint="eastAsia"/>
                                  <w:b/>
                                  <w:sz w:val="18"/>
                                  <w:szCs w:val="18"/>
                                </w:rPr>
                              </w:pPr>
                              <w:r w:rsidRPr="00CE443B">
                                <w:rPr>
                                  <w:rFonts w:hint="eastAsia"/>
                                  <w:b/>
                                  <w:sz w:val="18"/>
                                  <w:szCs w:val="18"/>
                                </w:rPr>
                                <w:t>美国能源部先进研究项目局</w:t>
                              </w:r>
                            </w:p>
                          </w:txbxContent>
                        </wps:txbx>
                        <wps:bodyPr rot="0" vert="horz" wrap="square" lIns="91440" tIns="0" rIns="91440" bIns="0" anchor="t" anchorCtr="0" upright="1">
                          <a:noAutofit/>
                        </wps:bodyPr>
                      </wps:wsp>
                      <wps:wsp>
                        <wps:cNvPr id="54" name="Text Box 5"/>
                        <wps:cNvSpPr txBox="1">
                          <a:spLocks noChangeArrowheads="1"/>
                        </wps:cNvSpPr>
                        <wps:spPr bwMode="auto">
                          <a:xfrm>
                            <a:off x="4016" y="4581"/>
                            <a:ext cx="1440" cy="510"/>
                          </a:xfrm>
                          <a:prstGeom prst="rect">
                            <a:avLst/>
                          </a:prstGeom>
                          <a:solidFill>
                            <a:srgbClr val="FF9900"/>
                          </a:solidFill>
                          <a:ln w="25400">
                            <a:solidFill>
                              <a:srgbClr val="000000"/>
                            </a:solidFill>
                            <a:miter lim="800000"/>
                            <a:headEnd/>
                            <a:tailEnd/>
                          </a:ln>
                        </wps:spPr>
                        <wps:txbx>
                          <w:txbxContent>
                            <w:p w:rsidR="00B77118" w:rsidRPr="00CE443B" w:rsidRDefault="00B77118" w:rsidP="00FF6CCE">
                              <w:pPr>
                                <w:jc w:val="center"/>
                                <w:rPr>
                                  <w:rFonts w:hint="eastAsia"/>
                                  <w:b/>
                                  <w:sz w:val="18"/>
                                  <w:szCs w:val="18"/>
                                </w:rPr>
                              </w:pPr>
                              <w:r w:rsidRPr="00CE443B">
                                <w:rPr>
                                  <w:rFonts w:hint="eastAsia"/>
                                  <w:b/>
                                  <w:sz w:val="18"/>
                                  <w:szCs w:val="18"/>
                                </w:rPr>
                                <w:t>风险投资</w:t>
                              </w:r>
                            </w:p>
                          </w:txbxContent>
                        </wps:txbx>
                        <wps:bodyPr rot="0" vert="horz" wrap="square" lIns="91440" tIns="21600" rIns="91440" bIns="45720" anchor="t" anchorCtr="0" upright="1">
                          <a:noAutofit/>
                        </wps:bodyPr>
                      </wps:wsp>
                      <wps:wsp>
                        <wps:cNvPr id="55" name="Text Box 6"/>
                        <wps:cNvSpPr txBox="1">
                          <a:spLocks noChangeArrowheads="1"/>
                        </wps:cNvSpPr>
                        <wps:spPr bwMode="auto">
                          <a:xfrm>
                            <a:off x="5566" y="4751"/>
                            <a:ext cx="1134" cy="340"/>
                          </a:xfrm>
                          <a:prstGeom prst="rect">
                            <a:avLst/>
                          </a:prstGeom>
                          <a:solidFill>
                            <a:srgbClr val="FF9900"/>
                          </a:solidFill>
                          <a:ln w="25400">
                            <a:solidFill>
                              <a:srgbClr val="000000"/>
                            </a:solidFill>
                            <a:miter lim="800000"/>
                            <a:headEnd/>
                            <a:tailEnd/>
                          </a:ln>
                        </wps:spPr>
                        <wps:txbx>
                          <w:txbxContent>
                            <w:p w:rsidR="00B77118" w:rsidRPr="00CE443B" w:rsidRDefault="00B77118" w:rsidP="00FF6CCE">
                              <w:pPr>
                                <w:jc w:val="center"/>
                                <w:rPr>
                                  <w:rFonts w:hint="eastAsia"/>
                                  <w:b/>
                                  <w:sz w:val="18"/>
                                  <w:szCs w:val="18"/>
                                </w:rPr>
                              </w:pPr>
                              <w:r w:rsidRPr="00CE443B">
                                <w:rPr>
                                  <w:rFonts w:hint="eastAsia"/>
                                  <w:b/>
                                  <w:sz w:val="18"/>
                                  <w:szCs w:val="18"/>
                                </w:rPr>
                                <w:t>风险投资</w:t>
                              </w:r>
                            </w:p>
                          </w:txbxContent>
                        </wps:txbx>
                        <wps:bodyPr rot="0" vert="horz" wrap="square" lIns="91440" tIns="0" rIns="91440" bIns="45720" anchor="t" anchorCtr="0" upright="1">
                          <a:noAutofit/>
                        </wps:bodyPr>
                      </wps:wsp>
                      <wps:wsp>
                        <wps:cNvPr id="56" name="Text Box 7"/>
                        <wps:cNvSpPr txBox="1">
                          <a:spLocks noChangeArrowheads="1"/>
                        </wps:cNvSpPr>
                        <wps:spPr bwMode="auto">
                          <a:xfrm>
                            <a:off x="6202" y="4237"/>
                            <a:ext cx="2891" cy="397"/>
                          </a:xfrm>
                          <a:prstGeom prst="rect">
                            <a:avLst/>
                          </a:prstGeom>
                          <a:solidFill>
                            <a:srgbClr val="00CCFF"/>
                          </a:solidFill>
                          <a:ln w="25400">
                            <a:solidFill>
                              <a:srgbClr val="000000"/>
                            </a:solidFill>
                            <a:miter lim="800000"/>
                            <a:headEnd/>
                            <a:tailEnd/>
                          </a:ln>
                        </wps:spPr>
                        <wps:txbx>
                          <w:txbxContent>
                            <w:p w:rsidR="00B77118" w:rsidRPr="00CE443B" w:rsidRDefault="00B77118" w:rsidP="00FF6CCE">
                              <w:pPr>
                                <w:rPr>
                                  <w:rFonts w:hint="eastAsia"/>
                                  <w:b/>
                                  <w:sz w:val="18"/>
                                  <w:szCs w:val="18"/>
                                </w:rPr>
                              </w:pPr>
                              <w:r>
                                <w:rPr>
                                  <w:rFonts w:hint="eastAsia"/>
                                  <w:b/>
                                  <w:sz w:val="18"/>
                                  <w:szCs w:val="18"/>
                                </w:rPr>
                                <w:t xml:space="preserve">DOE </w:t>
                              </w:r>
                              <w:r w:rsidRPr="00CE443B">
                                <w:rPr>
                                  <w:rFonts w:hint="eastAsia"/>
                                  <w:b/>
                                  <w:sz w:val="18"/>
                                  <w:szCs w:val="18"/>
                                </w:rPr>
                                <w:t>SunShot</w:t>
                              </w:r>
                              <w:r w:rsidRPr="00CE443B">
                                <w:rPr>
                                  <w:rFonts w:hint="eastAsia"/>
                                  <w:b/>
                                  <w:sz w:val="18"/>
                                  <w:szCs w:val="18"/>
                                </w:rPr>
                                <w:t>倡议和</w:t>
                              </w:r>
                              <w:r w:rsidRPr="00CE443B">
                                <w:rPr>
                                  <w:rFonts w:hint="eastAsia"/>
                                  <w:b/>
                                  <w:sz w:val="18"/>
                                  <w:szCs w:val="18"/>
                                </w:rPr>
                                <w:t>Sunpath</w:t>
                              </w:r>
                              <w:r w:rsidRPr="00CE443B">
                                <w:rPr>
                                  <w:rFonts w:hint="eastAsia"/>
                                  <w:b/>
                                  <w:sz w:val="18"/>
                                  <w:szCs w:val="18"/>
                                </w:rPr>
                                <w:t>拨款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14.2pt;margin-top:10.15pt;width:270.1pt;height:203.75pt;z-index:251659264" coordorigin="3724,1301" coordsize="5402,40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">
                <v:shapetype id="_x0000_t202" coordsize="21600,21600" o:spt="202" path="m0,0l0,21600,21600,21600,21600,0xe">
                  <v:stroke joinstyle="miter"/>
                  <v:path gradientshapeok="t" o:connecttype="rect"/>
                </v:shapetype>
                <v:shape id="Text Box 3" o:spid="_x0000_s1027" type="#_x0000_t202" style="position:absolute;left:6246;top:1301;width:2880;height:38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a63WxgAA&#10;ANsAAAAPAAAAZHJzL2Rvd25yZXYueG1sRI9Pb8IwDMXvSHyHyJN2g3QcYOoIaKNC4oI0/ly4WY3X&#10;dmuc0gSa7dPPh0m72XrP7/28XCfXqjv1ofFs4GmagSIuvW24MnA+bSfPoEJEtth6JgPfFGC9Go+W&#10;mFs/8IHux1gpCeGQo4E6xi7XOpQ1OQxT3xGL9uF7h1HWvtK2x0HCXatnWTbXDhuWhho72tRUfh1v&#10;zsB+sS/eLrdit/25zt/T0BSHRfo05vEhvb6AipTiv/nvemcFX+jlFxlAr3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a63WxgAAANsAAAAPAAAAAAAAAAAAAAAAAJcCAABkcnMv&#10;ZG93bnJldi54bWxQSwUGAAAAAAQABAD1AAAAigMAAAAA&#10;" fillcolor="lime" strokeweight="2pt">
                  <v:textbox>
                    <w:txbxContent>
                      <w:p w:rsidR="00B77118" w:rsidRDefault="00B77118" w:rsidP="00FF6CCE">
                        <w:pPr>
                          <w:rPr>
                            <w:rFonts w:hint="eastAsia"/>
                            <w:b/>
                            <w:szCs w:val="21"/>
                          </w:rPr>
                        </w:pPr>
                      </w:p>
                      <w:p w:rsidR="00B77118" w:rsidRDefault="00B77118" w:rsidP="00FF6CCE">
                        <w:pPr>
                          <w:rPr>
                            <w:rFonts w:hint="eastAsia"/>
                            <w:b/>
                            <w:szCs w:val="21"/>
                          </w:rPr>
                        </w:pPr>
                      </w:p>
                      <w:p w:rsidR="00B77118" w:rsidRDefault="00B77118" w:rsidP="00FF6CCE">
                        <w:pPr>
                          <w:rPr>
                            <w:rFonts w:hint="eastAsia"/>
                            <w:b/>
                            <w:szCs w:val="21"/>
                          </w:rPr>
                        </w:pPr>
                      </w:p>
                      <w:p w:rsidR="00B77118" w:rsidRDefault="00B77118" w:rsidP="00FF6CCE">
                        <w:pPr>
                          <w:rPr>
                            <w:rFonts w:hint="eastAsia"/>
                            <w:b/>
                            <w:szCs w:val="21"/>
                          </w:rPr>
                        </w:pPr>
                      </w:p>
                      <w:p w:rsidR="00B77118" w:rsidRPr="00F7649C" w:rsidRDefault="00B77118" w:rsidP="00FF6CCE">
                        <w:pPr>
                          <w:rPr>
                            <w:rFonts w:hint="eastAsia"/>
                            <w:b/>
                            <w:szCs w:val="21"/>
                          </w:rPr>
                        </w:pPr>
                        <w:r w:rsidRPr="00F7649C">
                          <w:rPr>
                            <w:rFonts w:hint="eastAsia"/>
                            <w:b/>
                            <w:szCs w:val="21"/>
                          </w:rPr>
                          <w:t>美国能源部贷款保证计划</w:t>
                        </w:r>
                      </w:p>
                    </w:txbxContent>
                  </v:textbox>
                </v:shape>
                <v:shape id="Text Box 4" o:spid="_x0000_s1028" type="#_x0000_t202" style="position:absolute;left:3724;top:5093;width:3780;height:2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4NVGwAAA&#10;ANsAAAAPAAAAZHJzL2Rvd25yZXYueG1sRE9Na8JAEL0L/Q/LCL2ZTSoUia4ilpY2t6qY65gds8Hs&#10;bMhuNfn33ULB2zze56w2g23FjXrfOFaQJSkI4srphmsFx8P7bAHCB2SNrWNSMJKHzfppssJcuzt/&#10;020fahFD2OeowITQ5VL6ypBFn7iOOHIX11sMEfa11D3eY7ht5UuavkqLDccGgx3tDFXX/Y9VQPak&#10;XfE11zgfzVt5Lj6ypjwp9TwdtksQgYbwEP+7P3Wcn8HfL/EAuf4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4NVGwAAAANsAAAAPAAAAAAAAAAAAAAAAAJcCAABkcnMvZG93bnJl&#10;di54bWxQSwUGAAAAAAQABAD1AAAAhAMAAAAA&#10;" fillcolor="#c9f" strokeweight="2pt">
                  <v:textbox inset=",0,,0">
                    <w:txbxContent>
                      <w:p w:rsidR="00B77118" w:rsidRPr="00CE443B" w:rsidRDefault="00B77118" w:rsidP="00FF6CCE">
                        <w:pPr>
                          <w:jc w:val="center"/>
                          <w:rPr>
                            <w:rFonts w:hint="eastAsia"/>
                            <w:b/>
                            <w:sz w:val="18"/>
                            <w:szCs w:val="18"/>
                          </w:rPr>
                        </w:pPr>
                        <w:r w:rsidRPr="00CE443B">
                          <w:rPr>
                            <w:rFonts w:hint="eastAsia"/>
                            <w:b/>
                            <w:sz w:val="18"/>
                            <w:szCs w:val="18"/>
                          </w:rPr>
                          <w:t>美国能源部先进研究项目局</w:t>
                        </w:r>
                      </w:p>
                    </w:txbxContent>
                  </v:textbox>
                </v:shape>
                <v:shape id="Text Box 5" o:spid="_x0000_s1029" type="#_x0000_t202" style="position:absolute;left:4016;top:4581;width:1440;height: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RMEdwwAA&#10;ANsAAAAPAAAAZHJzL2Rvd25yZXYueG1sRI/BTsMwEETvSP0Haytxo04RQSXUrUJpJa60XLit4sWJ&#10;iHdT26Th7zESEsfRzLzRrLeT79VIIXbCBpaLAhRxI7ZjZ+DtdLhZgYoJ2WIvTAa+KcJ2M7taY2Xl&#10;wq80HpNTGcKxQgNtSkOldWxa8hgXMhBn70OCx5RlcNoGvGS47/VtUdxrjx3nhRYH2rXUfB6/vIHd&#10;vnwoannah2c5y3h6rw+lc8Zcz6f6EVSiKf2H/9ov1kB5B79f8g/Qm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RMEdwwAAANsAAAAPAAAAAAAAAAAAAAAAAJcCAABkcnMvZG93&#10;bnJldi54bWxQSwUGAAAAAAQABAD1AAAAhwMAAAAA&#10;" fillcolor="#f90" strokeweight="2pt">
                  <v:textbox inset=",.6mm">
                    <w:txbxContent>
                      <w:p w:rsidR="00B77118" w:rsidRPr="00CE443B" w:rsidRDefault="00B77118" w:rsidP="00FF6CCE">
                        <w:pPr>
                          <w:jc w:val="center"/>
                          <w:rPr>
                            <w:rFonts w:hint="eastAsia"/>
                            <w:b/>
                            <w:sz w:val="18"/>
                            <w:szCs w:val="18"/>
                          </w:rPr>
                        </w:pPr>
                        <w:r w:rsidRPr="00CE443B">
                          <w:rPr>
                            <w:rFonts w:hint="eastAsia"/>
                            <w:b/>
                            <w:sz w:val="18"/>
                            <w:szCs w:val="18"/>
                          </w:rPr>
                          <w:t>风险投资</w:t>
                        </w:r>
                      </w:p>
                    </w:txbxContent>
                  </v:textbox>
                </v:shape>
                <v:shape id="Text Box 6" o:spid="_x0000_s1030" type="#_x0000_t202" style="position:absolute;left:5566;top:4751;width:1134;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IjHHxQAA&#10;ANsAAAAPAAAAZHJzL2Rvd25yZXYueG1sRI9Pa8JAFMTvBb/D8gQvRTdKlRJdQxBKS7201ou3R/Y1&#10;G5p9G7Nr/nz7rlDocZiZ3zC7bLC16Kj1lWMFy0UCgrhwuuJSwfnrZf4MwgdkjbVjUjCSh2w/edhh&#10;ql3Pn9SdQikihH2KCkwITSqlLwxZ9AvXEEfv27UWQ5RtKXWLfYTbWq6SZCMtVhwXDDZ0MFT8nG5W&#10;weWJjy6XH7fz43s/otlcX/XlqtRsOuRbEIGG8B/+a79pBes13L/EHyD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EiMcfFAAAA2wAAAA8AAAAAAAAAAAAAAAAAlwIAAGRycy9k&#10;b3ducmV2LnhtbFBLBQYAAAAABAAEAPUAAACJAwAAAAA=&#10;" fillcolor="#f90" strokeweight="2pt">
                  <v:textbox inset=",0">
                    <w:txbxContent>
                      <w:p w:rsidR="00B77118" w:rsidRPr="00CE443B" w:rsidRDefault="00B77118" w:rsidP="00FF6CCE">
                        <w:pPr>
                          <w:jc w:val="center"/>
                          <w:rPr>
                            <w:rFonts w:hint="eastAsia"/>
                            <w:b/>
                            <w:sz w:val="18"/>
                            <w:szCs w:val="18"/>
                          </w:rPr>
                        </w:pPr>
                        <w:r w:rsidRPr="00CE443B">
                          <w:rPr>
                            <w:rFonts w:hint="eastAsia"/>
                            <w:b/>
                            <w:sz w:val="18"/>
                            <w:szCs w:val="18"/>
                          </w:rPr>
                          <w:t>风险投资</w:t>
                        </w:r>
                      </w:p>
                    </w:txbxContent>
                  </v:textbox>
                </v:shape>
                <v:shape id="Text Box 7" o:spid="_x0000_s1031" type="#_x0000_t202" style="position:absolute;left:6202;top:4237;width:2891;height:3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DEBhwgAA&#10;ANsAAAAPAAAAZHJzL2Rvd25yZXYueG1sRI/NasMwEITvhbyD2EJvtdzQhuJECUkhkFPJ3wNsrbXk&#10;xFoZSXXct48KhR6HmfmGWaxG14mBQmw9K3gpShDEtdctGwXn0/b5HURMyBo7z6TghyKslpOHBVba&#10;3/hAwzEZkSEcK1RgU+orKWNtyWEsfE+cvcYHhynLYKQOeMtw18lpWc6kw5bzgsWePizV1+O3U0BT&#10;c3HDodxHfk3Dp9Gb+NVYpZ4ex/UcRKIx/Yf/2jut4G0Gv1/yD5DL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oMQGHCAAAA2wAAAA8AAAAAAAAAAAAAAAAAlwIAAGRycy9kb3du&#10;cmV2LnhtbFBLBQYAAAAABAAEAPUAAACGAwAAAAA=&#10;" fillcolor="#0cf" strokeweight="2pt">
                  <v:textbox inset="0,0,0,0">
                    <w:txbxContent>
                      <w:p w:rsidR="00B77118" w:rsidRPr="00CE443B" w:rsidRDefault="00B77118" w:rsidP="00FF6CCE">
                        <w:pPr>
                          <w:rPr>
                            <w:rFonts w:hint="eastAsia"/>
                            <w:b/>
                            <w:sz w:val="18"/>
                            <w:szCs w:val="18"/>
                          </w:rPr>
                        </w:pPr>
                        <w:r>
                          <w:rPr>
                            <w:rFonts w:hint="eastAsia"/>
                            <w:b/>
                            <w:sz w:val="18"/>
                            <w:szCs w:val="18"/>
                          </w:rPr>
                          <w:t xml:space="preserve">DOE </w:t>
                        </w:r>
                        <w:r w:rsidRPr="00CE443B">
                          <w:rPr>
                            <w:rFonts w:hint="eastAsia"/>
                            <w:b/>
                            <w:sz w:val="18"/>
                            <w:szCs w:val="18"/>
                          </w:rPr>
                          <w:t>SunShot</w:t>
                        </w:r>
                        <w:r w:rsidRPr="00CE443B">
                          <w:rPr>
                            <w:rFonts w:hint="eastAsia"/>
                            <w:b/>
                            <w:sz w:val="18"/>
                            <w:szCs w:val="18"/>
                          </w:rPr>
                          <w:t>倡议和</w:t>
                        </w:r>
                        <w:r w:rsidRPr="00CE443B">
                          <w:rPr>
                            <w:rFonts w:hint="eastAsia"/>
                            <w:b/>
                            <w:sz w:val="18"/>
                            <w:szCs w:val="18"/>
                          </w:rPr>
                          <w:t>Sunpath</w:t>
                        </w:r>
                        <w:r w:rsidRPr="00CE443B">
                          <w:rPr>
                            <w:rFonts w:hint="eastAsia"/>
                            <w:b/>
                            <w:sz w:val="18"/>
                            <w:szCs w:val="18"/>
                          </w:rPr>
                          <w:t>拨款</w:t>
                        </w:r>
                      </w:p>
                    </w:txbxContent>
                  </v:textbox>
                </v:shape>
              </v:group>
            </w:pict>
          </mc:Fallback>
        </mc:AlternateContent>
      </w:r>
      <w:r>
        <w:rPr>
          <w:noProof/>
          <w:lang w:eastAsia="en-US"/>
        </w:rPr>
        <w:drawing>
          <wp:inline distT="0" distB="0" distL="0" distR="0">
            <wp:extent cx="4121785" cy="2967990"/>
            <wp:effectExtent l="0" t="0" r="0" b="0"/>
            <wp:docPr id="52" name="Picture 29"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0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21785" cy="2967990"/>
                    </a:xfrm>
                    <a:prstGeom prst="rect">
                      <a:avLst/>
                    </a:prstGeom>
                    <a:noFill/>
                    <a:ln>
                      <a:noFill/>
                    </a:ln>
                  </pic:spPr>
                </pic:pic>
              </a:graphicData>
            </a:graphic>
          </wp:inline>
        </w:drawing>
      </w:r>
    </w:p>
    <w:p w:rsidR="00FF6CCE" w:rsidRDefault="00FF6CCE" w:rsidP="00FF6CCE">
      <w:pPr>
        <w:pStyle w:val="a3"/>
        <w:numPr>
          <w:ilvl w:val="0"/>
          <w:numId w:val="11"/>
        </w:numPr>
        <w:ind w:left="900" w:hanging="480"/>
        <w:rPr>
          <w:rFonts w:hint="eastAsia"/>
        </w:rPr>
      </w:pPr>
      <w:bookmarkStart w:id="326" w:name="_Toc392513097"/>
      <w:r>
        <w:rPr>
          <w:rFonts w:hint="eastAsia"/>
        </w:rPr>
        <w:t>按</w:t>
      </w:r>
      <w:r>
        <w:t>1366</w:t>
      </w:r>
      <w:r>
        <w:rPr>
          <w:rFonts w:hint="eastAsia"/>
        </w:rPr>
        <w:t>技术计划分类，获得的公共财政资金和私营资</w:t>
      </w:r>
      <w:bookmarkEnd w:id="326"/>
    </w:p>
    <w:p w:rsidR="00FF6CCE" w:rsidRDefault="00FF6CCE" w:rsidP="00FF6CCE">
      <w:pPr>
        <w:ind w:firstLine="480"/>
      </w:pPr>
      <w:r>
        <w:t>2013</w:t>
      </w:r>
      <w:r>
        <w:rPr>
          <w:rFonts w:hint="eastAsia"/>
        </w:rPr>
        <w:t>年</w:t>
      </w:r>
      <w:r>
        <w:t>5</w:t>
      </w:r>
      <w:r>
        <w:rPr>
          <w:rFonts w:hint="eastAsia"/>
        </w:rPr>
        <w:t>月，</w:t>
      </w:r>
      <w:r>
        <w:t xml:space="preserve">1366 </w:t>
      </w:r>
      <w:r>
        <w:rPr>
          <w:rFonts w:hint="eastAsia"/>
        </w:rPr>
        <w:t>技术计划宣布其与日本硅生产商</w:t>
      </w:r>
      <w:r>
        <w:t xml:space="preserve"> Tokuyama </w:t>
      </w:r>
      <w:r>
        <w:rPr>
          <w:rFonts w:hint="eastAsia"/>
        </w:rPr>
        <w:t>达成了一项研发交易。</w:t>
      </w:r>
      <w:r>
        <w:t xml:space="preserve"> Tokuyama </w:t>
      </w:r>
      <w:r>
        <w:rPr>
          <w:rFonts w:hint="eastAsia"/>
        </w:rPr>
        <w:t>是日本第一大全球第四大硅生产商。该公司也通过投资与包括</w:t>
      </w:r>
      <w:r>
        <w:t xml:space="preserve"> Hanhwa </w:t>
      </w:r>
      <w:r>
        <w:rPr>
          <w:rFonts w:hint="eastAsia"/>
        </w:rPr>
        <w:t>太阳能和</w:t>
      </w:r>
      <w:r>
        <w:t xml:space="preserve"> NRG </w:t>
      </w:r>
      <w:r>
        <w:rPr>
          <w:rFonts w:hint="eastAsia"/>
        </w:rPr>
        <w:t>能源在内的大能源公司结成了伙伴关系。</w:t>
      </w:r>
    </w:p>
    <w:p w:rsidR="00FF6CCE" w:rsidRDefault="00FF6CCE" w:rsidP="00FF6CCE">
      <w:pPr>
        <w:ind w:firstLine="480"/>
      </w:pPr>
      <w:r>
        <w:rPr>
          <w:rFonts w:hint="eastAsia"/>
        </w:rPr>
        <w:t>尽管</w:t>
      </w:r>
      <w:r>
        <w:t>1366</w:t>
      </w:r>
      <w:r>
        <w:rPr>
          <w:rFonts w:hint="eastAsia"/>
        </w:rPr>
        <w:t>技术计划算得上成功了，但同一创始人更早时设立的公司则并未取得同样的成功。</w:t>
      </w:r>
      <w:r>
        <w:t xml:space="preserve"> Sach </w:t>
      </w:r>
      <w:r>
        <w:rPr>
          <w:rFonts w:hint="eastAsia"/>
        </w:rPr>
        <w:t>的早期研究促使他成立了</w:t>
      </w:r>
      <w:r>
        <w:t xml:space="preserve"> Evergreen </w:t>
      </w:r>
      <w:r>
        <w:rPr>
          <w:rFonts w:hint="eastAsia"/>
        </w:rPr>
        <w:t>太阳能公司</w:t>
      </w:r>
      <w:r>
        <w:rPr>
          <w:rFonts w:hint="eastAsia"/>
        </w:rPr>
        <w:t>----</w:t>
      </w:r>
      <w:r>
        <w:rPr>
          <w:rFonts w:hint="eastAsia"/>
        </w:rPr>
        <w:t>同样设在</w:t>
      </w:r>
      <w:r>
        <w:t xml:space="preserve">Buonassisi </w:t>
      </w:r>
      <w:r>
        <w:rPr>
          <w:rFonts w:hint="eastAsia"/>
        </w:rPr>
        <w:t>工作麻省的另一家太阳能公司。</w:t>
      </w:r>
      <w:r>
        <w:t xml:space="preserve">Evergreen </w:t>
      </w:r>
      <w:r>
        <w:rPr>
          <w:rFonts w:hint="eastAsia"/>
        </w:rPr>
        <w:t>于</w:t>
      </w:r>
      <w:r>
        <w:t>2011</w:t>
      </w:r>
      <w:r>
        <w:rPr>
          <w:rFonts w:hint="eastAsia"/>
        </w:rPr>
        <w:t>年</w:t>
      </w:r>
      <w:r>
        <w:t>8</w:t>
      </w:r>
      <w:r>
        <w:rPr>
          <w:rFonts w:hint="eastAsia"/>
        </w:rPr>
        <w:t>月破产，被一家中国买家，即中国私募基金投资控股公司收购。</w:t>
      </w:r>
      <w:r>
        <w:t xml:space="preserve">Evergreen </w:t>
      </w:r>
      <w:r>
        <w:rPr>
          <w:rFonts w:hint="eastAsia"/>
        </w:rPr>
        <w:t>早前与中国的</w:t>
      </w:r>
      <w:r>
        <w:t xml:space="preserve"> Jiawei </w:t>
      </w:r>
      <w:r>
        <w:rPr>
          <w:rFonts w:hint="eastAsia"/>
        </w:rPr>
        <w:t>太阳能公司和湖北科技投资有限公司达成伙伴关系，后者从中国国家开发银行获得了一百亿人民币的贷款，扶持华中地区的发展。</w:t>
      </w:r>
    </w:p>
    <w:p w:rsidR="00FF6CCE" w:rsidRDefault="00FF6CCE" w:rsidP="00FF6CCE">
      <w:pPr>
        <w:pStyle w:val="Heading1"/>
        <w:tabs>
          <w:tab w:val="clear" w:pos="432"/>
        </w:tabs>
      </w:pPr>
      <w:bookmarkStart w:id="327" w:name="_Toc12023"/>
      <w:bookmarkStart w:id="328" w:name="_Toc5202"/>
      <w:bookmarkStart w:id="329" w:name="_Toc392057067"/>
      <w:bookmarkStart w:id="330" w:name="_Toc392513041"/>
      <w:r>
        <w:rPr>
          <w:rFonts w:hint="eastAsia"/>
        </w:rPr>
        <w:t>评价美国清洁能源的成功与失败</w:t>
      </w:r>
      <w:bookmarkEnd w:id="327"/>
      <w:bookmarkEnd w:id="328"/>
      <w:bookmarkEnd w:id="329"/>
      <w:bookmarkEnd w:id="330"/>
    </w:p>
    <w:p w:rsidR="00FF6CCE" w:rsidRDefault="00FF6CCE" w:rsidP="00FF6CCE">
      <w:pPr>
        <w:ind w:firstLine="480"/>
      </w:pPr>
      <w:r>
        <w:rPr>
          <w:rFonts w:hint="eastAsia"/>
        </w:rPr>
        <w:t>本文讨论的许多美国项目均为最近开发的，因此对该等项目的有效性进行全面的评估仍嫌为时过早。然而，已经出现的成功和失败的例子，如上述两个案例，或许可以供就如何完善现存项目进行讨论，并弥补该等实践中存在的不足，以更好地开发新项目。此外，事实上美国能源部在过去五年中制订的多数创新型清洁能源扶持计划均依赖于一度为联邦刺激计划（</w:t>
      </w:r>
      <w:r>
        <w:t>ARRA</w:t>
      </w:r>
      <w:r>
        <w:rPr>
          <w:rFonts w:hint="eastAsia"/>
        </w:rPr>
        <w:t>）的财政拨款，该等计划在将来资金流断开时能否保持其可持续性已经引发了担忧。</w:t>
      </w:r>
    </w:p>
    <w:p w:rsidR="00FF6CCE" w:rsidRDefault="00FF6CCE" w:rsidP="00FF6CCE">
      <w:pPr>
        <w:pStyle w:val="Heading2"/>
      </w:pPr>
      <w:bookmarkStart w:id="331" w:name="_Toc7276"/>
      <w:bookmarkStart w:id="332" w:name="_Toc275"/>
      <w:bookmarkStart w:id="333" w:name="_Toc392057068"/>
      <w:bookmarkStart w:id="334" w:name="_Toc392513042"/>
      <w:r>
        <w:rPr>
          <w:rFonts w:hint="eastAsia"/>
        </w:rPr>
        <w:t>贷款计划</w:t>
      </w:r>
      <w:bookmarkEnd w:id="331"/>
      <w:bookmarkEnd w:id="332"/>
      <w:bookmarkEnd w:id="333"/>
      <w:bookmarkEnd w:id="334"/>
    </w:p>
    <w:p w:rsidR="00FF6CCE" w:rsidRDefault="00FF6CCE" w:rsidP="00FF6CCE">
      <w:pPr>
        <w:ind w:firstLine="480"/>
      </w:pPr>
      <w:r>
        <w:rPr>
          <w:rFonts w:hint="eastAsia"/>
        </w:rPr>
        <w:t>在</w:t>
      </w:r>
      <w:r>
        <w:t xml:space="preserve"> Solyndra </w:t>
      </w:r>
      <w:r>
        <w:rPr>
          <w:rFonts w:hint="eastAsia"/>
        </w:rPr>
        <w:t>公司倒闭后美国能源部的贷款担保计划的有效性受到了审查。</w:t>
      </w:r>
      <w:r>
        <w:t xml:space="preserve"> </w:t>
      </w:r>
      <w:r>
        <w:rPr>
          <w:rFonts w:hint="eastAsia"/>
        </w:rPr>
        <w:t>一项研究发现能源部的贷款担保计划比其它能源部开展的清洁能源扶持计划更难处理和更耗费人工，被认为这项计划“即不必要也不有效。”</w:t>
      </w:r>
    </w:p>
    <w:p w:rsidR="00FF6CCE" w:rsidRDefault="00FF6CCE" w:rsidP="00FF6CCE">
      <w:pPr>
        <w:ind w:firstLine="480"/>
      </w:pPr>
      <w:r>
        <w:rPr>
          <w:rFonts w:hint="eastAsia"/>
        </w:rPr>
        <w:t>单单</w:t>
      </w:r>
      <w:r>
        <w:t xml:space="preserve">Solyndra </w:t>
      </w:r>
      <w:r>
        <w:rPr>
          <w:rFonts w:hint="eastAsia"/>
        </w:rPr>
        <w:t>公司失败的一个例子可能不足以证明联邦政府贷款担保计划失败了。因为在该贷款担保计划扶持的</w:t>
      </w:r>
      <w:r>
        <w:t>33</w:t>
      </w:r>
      <w:r>
        <w:rPr>
          <w:rFonts w:hint="eastAsia"/>
        </w:rPr>
        <w:t>个项目中仅有两个失败了，而且该计划最初被设计为允许这些失败，并拨备了一百亿美元来填补</w:t>
      </w:r>
      <w:r>
        <w:t>260</w:t>
      </w:r>
      <w:r>
        <w:rPr>
          <w:rFonts w:hint="eastAsia"/>
        </w:rPr>
        <w:t>亿美元贷款中的损失。此外，</w:t>
      </w:r>
      <w:r>
        <w:t xml:space="preserve">Solyndra </w:t>
      </w:r>
      <w:r>
        <w:rPr>
          <w:rFonts w:hint="eastAsia"/>
        </w:rPr>
        <w:t>公司另外向能源部申请的</w:t>
      </w:r>
      <w:r>
        <w:t>4.68</w:t>
      </w:r>
      <w:r>
        <w:rPr>
          <w:rFonts w:hint="eastAsia"/>
        </w:rPr>
        <w:t>亿美元贷款未得到批准。</w:t>
      </w:r>
      <w:r>
        <w:t xml:space="preserve"> </w:t>
      </w:r>
      <w:r>
        <w:rPr>
          <w:rFonts w:hint="eastAsia"/>
        </w:rPr>
        <w:t>作为一项象征性的举动，共和党控制的美国众议院于</w:t>
      </w:r>
      <w:r>
        <w:t>2012</w:t>
      </w:r>
      <w:r>
        <w:rPr>
          <w:rFonts w:hint="eastAsia"/>
        </w:rPr>
        <w:t>年</w:t>
      </w:r>
      <w:r>
        <w:t>9</w:t>
      </w:r>
      <w:r>
        <w:rPr>
          <w:rFonts w:hint="eastAsia"/>
        </w:rPr>
        <w:t>月通过了一项“再也没有</w:t>
      </w:r>
      <w:r>
        <w:t xml:space="preserve"> Solyndras </w:t>
      </w:r>
      <w:r>
        <w:rPr>
          <w:rFonts w:hint="eastAsia"/>
        </w:rPr>
        <w:t>公司现象的法案”，试图防止能源部批准任何新的贷款担保申请。但是，该计划的设计宗旨是要求美国能源部“挑选出优胜方”，而非由市场决定何种技术最终能大规模推广。</w:t>
      </w:r>
    </w:p>
    <w:p w:rsidR="00FF6CCE" w:rsidRDefault="00FF6CCE" w:rsidP="00FF6CCE">
      <w:pPr>
        <w:ind w:firstLine="480"/>
        <w:rPr>
          <w:color w:val="000000"/>
        </w:rPr>
      </w:pPr>
      <w:r>
        <w:rPr>
          <w:rFonts w:hint="eastAsia"/>
        </w:rPr>
        <w:t>尽管许多能源部的清洁能源项目扶持方式是“放手不干涉”式的，该贷款担保计划使能源部扮演了通常由私营投资人和项目开发商担任的角色，而这可能并非是他们在目前设计下的强项。若能源部将其角色职责扩大至清洁能源的资金提供方，其需要另外开发一个独立于能源部政策制订部门的、由其它公平的机构的金融专家组成的融资和银行机构。</w:t>
      </w:r>
    </w:p>
    <w:p w:rsidR="00FF6CCE" w:rsidRDefault="00FF6CCE" w:rsidP="00FF6CCE">
      <w:pPr>
        <w:pStyle w:val="Heading2"/>
      </w:pPr>
      <w:bookmarkStart w:id="335" w:name="_Toc30223"/>
      <w:bookmarkStart w:id="336" w:name="_Toc11744"/>
      <w:bookmarkStart w:id="337" w:name="_Toc392057069"/>
      <w:bookmarkStart w:id="338" w:name="_Toc392513043"/>
      <w:r>
        <w:t>ARRA</w:t>
      </w:r>
      <w:r>
        <w:rPr>
          <w:rFonts w:hint="eastAsia"/>
        </w:rPr>
        <w:t>创新计划</w:t>
      </w:r>
      <w:r>
        <w:t>: ARPA-E</w:t>
      </w:r>
      <w:bookmarkEnd w:id="335"/>
      <w:bookmarkEnd w:id="336"/>
      <w:bookmarkEnd w:id="337"/>
      <w:bookmarkEnd w:id="338"/>
    </w:p>
    <w:p w:rsidR="00FF6CCE" w:rsidRDefault="00FF6CCE" w:rsidP="00FF6CCE">
      <w:pPr>
        <w:ind w:firstLine="480"/>
      </w:pPr>
      <w:r>
        <w:rPr>
          <w:rFonts w:hint="eastAsia"/>
        </w:rPr>
        <w:t>美国最近几年发展新能源研发和示范项目的方式被总结为对现存扶持体系进行“缝补”，而非对整个研发和示范系统重新设计。本文所论及的每一个计划，包括</w:t>
      </w:r>
      <w:r>
        <w:t>ARPA-E</w:t>
      </w:r>
      <w:r>
        <w:rPr>
          <w:rFonts w:hint="eastAsia"/>
        </w:rPr>
        <w:t>、能源创新中心、以及能源前沿研究中心、和规模更小的项目，还有像射日计划及“美国下一代顶尖能源创新者”计划的宗旨皆以明确研发和示范过程中清洁能源创新在不同阶段的障碍为目标。</w:t>
      </w:r>
    </w:p>
    <w:p w:rsidR="00FF6CCE" w:rsidRDefault="00FF6CCE" w:rsidP="00FF6CCE">
      <w:pPr>
        <w:ind w:firstLine="480"/>
        <w:rPr>
          <w:rFonts w:hint="eastAsia"/>
        </w:rPr>
      </w:pPr>
      <w:r>
        <w:rPr>
          <w:rFonts w:hint="eastAsia"/>
        </w:rPr>
        <w:t>能源部研发和示范的重点中存在的一个潜在的不足，与</w:t>
      </w:r>
      <w:r>
        <w:t xml:space="preserve"> ARPA-E </w:t>
      </w:r>
      <w:r>
        <w:rPr>
          <w:rFonts w:hint="eastAsia"/>
        </w:rPr>
        <w:t>计划的创新型支持相比，为技术提供的技术示范资金扶持更能商业化。例如，许多项研究均为碳减排、碳捕捉和碳摧毁技术的示范项目提供扶持。</w:t>
      </w:r>
      <w:r>
        <w:t xml:space="preserve"> </w:t>
      </w:r>
      <w:r>
        <w:rPr>
          <w:rFonts w:hint="eastAsia"/>
        </w:rPr>
        <w:t>尽管能源部制订的“</w:t>
      </w:r>
      <w:r>
        <w:t>FutureGen</w:t>
      </w:r>
      <w:r>
        <w:rPr>
          <w:rFonts w:hint="eastAsia"/>
        </w:rPr>
        <w:t>未来发电”计划是对该种项目的一种尝试，但高昂的成本和复杂的政治因素令该项目永远无法实施。</w:t>
      </w:r>
    </w:p>
    <w:p w:rsidR="00FF6CCE" w:rsidRDefault="00FF6CCE" w:rsidP="00FF6CCE">
      <w:pPr>
        <w:ind w:firstLine="480"/>
        <w:rPr>
          <w:rFonts w:hint="eastAsia"/>
        </w:rPr>
      </w:pPr>
      <w:r>
        <w:rPr>
          <w:rFonts w:hint="eastAsia"/>
        </w:rPr>
        <w:t>美国</w:t>
      </w:r>
      <w:r>
        <w:t>GAO</w:t>
      </w:r>
      <w:r>
        <w:rPr>
          <w:rFonts w:hint="eastAsia"/>
        </w:rPr>
        <w:t>最近进行的一项研究发现，</w:t>
      </w:r>
      <w:r>
        <w:t>ARPA-E</w:t>
      </w:r>
      <w:r>
        <w:rPr>
          <w:rFonts w:hint="eastAsia"/>
        </w:rPr>
        <w:t>计划可完善其挑选标准，尤其是可以提高其对私营领域的资金投入的信息方面的要求。</w:t>
      </w:r>
      <w:r>
        <w:t xml:space="preserve"> </w:t>
      </w:r>
      <w:r>
        <w:rPr>
          <w:rFonts w:hint="eastAsia"/>
        </w:rPr>
        <w:t>根据该项报告，“</w:t>
      </w:r>
      <w:r>
        <w:t>ARPA-E</w:t>
      </w:r>
      <w:r>
        <w:rPr>
          <w:rFonts w:hint="eastAsia"/>
        </w:rPr>
        <w:t>计划在决定是否提供资金扶持时使用了四项挑选标准，即与涉及工艺的技术提出的影响；</w:t>
      </w:r>
      <w:r>
        <w:t xml:space="preserve"> </w:t>
      </w:r>
      <w:r>
        <w:rPr>
          <w:rFonts w:hint="eastAsia"/>
        </w:rPr>
        <w:t>所推荐的技术的总体科技优点；技术申请方的资质、经验、和能力；以及所推荐的管理计划的质量，”（具体的提供资金的机会和应用方面的信息可查阅网址</w:t>
      </w:r>
      <w:hyperlink r:id="rId95" w:history="1">
        <w:r>
          <w:rPr>
            <w:rStyle w:val="Hyperlink"/>
          </w:rPr>
          <w:t>https://arpa-e-foa.energy.gov/Default.aspx/</w:t>
        </w:r>
      </w:hyperlink>
      <w:r>
        <w:t xml:space="preserve">. </w:t>
      </w:r>
      <w:r>
        <w:rPr>
          <w:rFonts w:hint="eastAsia"/>
        </w:rPr>
        <w:t>。申请由</w:t>
      </w:r>
      <w:r>
        <w:t>ARPA-E</w:t>
      </w:r>
      <w:r>
        <w:rPr>
          <w:rFonts w:hint="eastAsia"/>
        </w:rPr>
        <w:t>计划的八位项目主任审查，他们基本上都是科学家和工程师。</w:t>
      </w:r>
    </w:p>
    <w:p w:rsidR="00FF6CCE" w:rsidRDefault="00FF6CCE" w:rsidP="00FF6CCE">
      <w:pPr>
        <w:ind w:firstLine="480"/>
      </w:pPr>
      <w:r>
        <w:t>GAO</w:t>
      </w:r>
      <w:r>
        <w:rPr>
          <w:rFonts w:hint="eastAsia"/>
        </w:rPr>
        <w:t>的报告还发现</w:t>
      </w:r>
      <w:r>
        <w:t xml:space="preserve">ARPA-E </w:t>
      </w:r>
      <w:r>
        <w:rPr>
          <w:rFonts w:hint="eastAsia"/>
        </w:rPr>
        <w:t>的确填补了私营投资人不可能填补的投资空白。</w:t>
      </w:r>
      <w:r>
        <w:t>ARPA-E</w:t>
      </w:r>
      <w:r>
        <w:rPr>
          <w:rFonts w:hint="eastAsia"/>
        </w:rPr>
        <w:t>奖励优胜者的数据显示，头三轮资助的</w:t>
      </w:r>
      <w:r>
        <w:t>121</w:t>
      </w:r>
      <w:r>
        <w:rPr>
          <w:rFonts w:hint="eastAsia"/>
        </w:rPr>
        <w:t>个</w:t>
      </w:r>
      <w:r>
        <w:t xml:space="preserve"> ARPA-E </w:t>
      </w:r>
      <w:r>
        <w:rPr>
          <w:rFonts w:hint="eastAsia"/>
        </w:rPr>
        <w:t>项目中有</w:t>
      </w:r>
      <w:r>
        <w:t>91</w:t>
      </w:r>
      <w:r>
        <w:rPr>
          <w:rFonts w:hint="eastAsia"/>
        </w:rPr>
        <w:t>个项目的技术概念并未在实验室阶段得到示范。风险资本投资公司“基本上不对那些依赖于未经验证的技术概念的或无展示该种技术的、运行中的样板的项目进行投资。”此外，风险资本行业“主要对那些能在三年内实现商业化的和那些能够展现出市场增长能在大约</w:t>
      </w:r>
      <w:r>
        <w:t>5</w:t>
      </w:r>
      <w:r>
        <w:rPr>
          <w:rFonts w:hint="eastAsia"/>
        </w:rPr>
        <w:t>年至</w:t>
      </w:r>
      <w:r>
        <w:t>7</w:t>
      </w:r>
      <w:r>
        <w:rPr>
          <w:rFonts w:hint="eastAsia"/>
        </w:rPr>
        <w:t>年内实现指数式增长的技术。”</w:t>
      </w:r>
    </w:p>
    <w:p w:rsidR="00FF6CCE" w:rsidRDefault="00FF6CCE" w:rsidP="00FF6CCE">
      <w:pPr>
        <w:pStyle w:val="Heading1"/>
        <w:tabs>
          <w:tab w:val="clear" w:pos="432"/>
        </w:tabs>
      </w:pPr>
      <w:bookmarkStart w:id="339" w:name="_Toc19540"/>
      <w:bookmarkStart w:id="340" w:name="_Toc18363"/>
      <w:bookmarkStart w:id="341" w:name="_Toc392057070"/>
      <w:bookmarkStart w:id="342" w:name="_Toc392513044"/>
      <w:r>
        <w:rPr>
          <w:rFonts w:hint="eastAsia"/>
        </w:rPr>
        <w:t>向中国提出的建议</w:t>
      </w:r>
      <w:bookmarkEnd w:id="339"/>
      <w:bookmarkEnd w:id="340"/>
      <w:bookmarkEnd w:id="341"/>
      <w:bookmarkEnd w:id="342"/>
    </w:p>
    <w:p w:rsidR="00FF6CCE" w:rsidRDefault="00FF6CCE" w:rsidP="00FF6CCE">
      <w:pPr>
        <w:pStyle w:val="Heading2"/>
      </w:pPr>
      <w:bookmarkStart w:id="343" w:name="_Toc1128"/>
      <w:bookmarkStart w:id="344" w:name="_Toc27928"/>
      <w:bookmarkStart w:id="345" w:name="_Toc392057071"/>
      <w:bookmarkStart w:id="346" w:name="_Toc392513045"/>
      <w:r>
        <w:rPr>
          <w:rFonts w:hint="eastAsia"/>
        </w:rPr>
        <w:t>美国清洁能源扶持计划的教训</w:t>
      </w:r>
      <w:bookmarkEnd w:id="343"/>
      <w:bookmarkEnd w:id="344"/>
      <w:bookmarkEnd w:id="345"/>
      <w:bookmarkEnd w:id="346"/>
    </w:p>
    <w:p w:rsidR="00FF6CCE" w:rsidRDefault="00FF6CCE" w:rsidP="00FF6CCE">
      <w:pPr>
        <w:ind w:firstLine="480"/>
      </w:pPr>
      <w:r>
        <w:rPr>
          <w:rFonts w:hint="eastAsia"/>
        </w:rPr>
        <w:t>对美国体制进行的审视表明，美国缺乏一项联邦政府能源政策或一项联邦政府级别的清洁能源创新战略。</w:t>
      </w:r>
      <w:r>
        <w:t xml:space="preserve"> </w:t>
      </w:r>
      <w:r>
        <w:rPr>
          <w:rFonts w:hint="eastAsia"/>
        </w:rPr>
        <w:t>尽管如此，主要由美国能源部主导的“缝补工作”已经培育了一个由传统的衡量方法所认为强有力的创新体系。相反，中国拥有一项非常强力的由政府计划推广的扶持科技创新的战略，但是在培育创新成果和在创办创新型公司方面取得的成功则嫌不足。</w:t>
      </w:r>
    </w:p>
    <w:p w:rsidR="00FF6CCE" w:rsidRDefault="00FF6CCE" w:rsidP="00FF6CCE">
      <w:pPr>
        <w:ind w:firstLine="480"/>
      </w:pPr>
      <w:r>
        <w:rPr>
          <w:rFonts w:hint="eastAsia"/>
        </w:rPr>
        <w:t>产生这种现象的原因之一是对研究机构开发的发明成果缺乏早期扶持。</w:t>
      </w:r>
      <w:r>
        <w:t xml:space="preserve"> </w:t>
      </w:r>
      <w:r>
        <w:rPr>
          <w:rFonts w:hint="eastAsia"/>
        </w:rPr>
        <w:t>美国拥有一种在大学开始创业的企业家文化，尤其是在工程和商业教育方面。此外，大学、国家实验室与私营产业间的强力联接可给予该等企业家更多的扶持。中国可通过完善基础研究和应用研究的整合来提高大学、实验室和私营产业间的联接。这方面的范例包括美国能源部创办的能源创新中心，以及</w:t>
      </w:r>
      <w:r>
        <w:t xml:space="preserve">ARPA-E </w:t>
      </w:r>
      <w:r>
        <w:rPr>
          <w:rFonts w:hint="eastAsia"/>
        </w:rPr>
        <w:t>计划。</w:t>
      </w:r>
    </w:p>
    <w:p w:rsidR="00FF6CCE" w:rsidRDefault="00FF6CCE" w:rsidP="00FF6CCE">
      <w:pPr>
        <w:ind w:firstLine="480"/>
      </w:pPr>
      <w:r>
        <w:rPr>
          <w:rFonts w:hint="eastAsia"/>
        </w:rPr>
        <w:t>就资金扶持而言，美国拥有世界上最高水平的风险资本投资，以及高度的国家研发扶持。中国可增加公共财政对早期的研发和示范的扶持力度，包括扩大其风险资本对初创技术公司的扶持力度，例如，在没有大规模的私营风险资本银行的情况下，可从</w:t>
      </w:r>
      <w:r>
        <w:t xml:space="preserve"> MOST</w:t>
      </w:r>
      <w:r>
        <w:rPr>
          <w:rFonts w:hint="eastAsia"/>
        </w:rPr>
        <w:t>获得国家的扶持。</w:t>
      </w:r>
      <w:r>
        <w:t xml:space="preserve"> </w:t>
      </w:r>
      <w:r>
        <w:rPr>
          <w:rFonts w:hint="eastAsia"/>
        </w:rPr>
        <w:t>尽管中国的创新体制的一个强项在清洁能源技术示范方面已获得大规模投资，但是还有一个问题，政府在某一技术公司开发的技术的活力在市场得到充分验证之前就太快的“挑选出优胜者”。</w:t>
      </w:r>
    </w:p>
    <w:p w:rsidR="00FF6CCE" w:rsidRDefault="00FF6CCE" w:rsidP="00FF6CCE">
      <w:pPr>
        <w:ind w:firstLine="480"/>
        <w:rPr>
          <w:rFonts w:hint="eastAsia"/>
        </w:rPr>
      </w:pPr>
      <w:r>
        <w:rPr>
          <w:rFonts w:hint="eastAsia"/>
        </w:rPr>
        <w:t>其结果是，中国政府可能想开发更多的根据项目的优点而被挑选出来的项目，以对清洁能源公司提供资金扶持。可能的范例包括美国能源部的技术办公室扶持的项目，例如射日计划。中国也可考虑集中挑选一批像美国的下一代顶尖能源创新者计划那样的项目，引入范围更广的利益相关者，并增加公众对本土开发的创新成果的重视程度。美国联邦贷款担保计划大概对中国无多少借鉴意义，因为大规模的、政府支持的扶持显然是中国目前清洁能源创新体系的重要优势之一。</w:t>
      </w:r>
    </w:p>
    <w:p w:rsidR="00FF6CCE" w:rsidRDefault="00FF6CCE" w:rsidP="00FF6CCE">
      <w:pPr>
        <w:pStyle w:val="Heading2"/>
      </w:pPr>
      <w:bookmarkStart w:id="347" w:name="_Toc392513046"/>
      <w:r>
        <w:rPr>
          <w:rFonts w:hint="eastAsia"/>
        </w:rPr>
        <w:t>美国</w:t>
      </w:r>
      <w:r>
        <w:rPr>
          <w:rFonts w:hint="eastAsia"/>
        </w:rPr>
        <w:t>-</w:t>
      </w:r>
      <w:r>
        <w:rPr>
          <w:rFonts w:hint="eastAsia"/>
        </w:rPr>
        <w:t>中国在清洁能源创新方面合作的机会</w:t>
      </w:r>
      <w:bookmarkEnd w:id="347"/>
    </w:p>
    <w:p w:rsidR="00FF6CCE" w:rsidRDefault="00FF6CCE" w:rsidP="00FF6CCE">
      <w:pPr>
        <w:ind w:firstLine="480"/>
      </w:pPr>
      <w:r>
        <w:rPr>
          <w:rFonts w:cs="宋体" w:hint="eastAsia"/>
        </w:rPr>
        <w:t>在过去三十年里，美国</w:t>
      </w:r>
      <w:r>
        <w:t>-</w:t>
      </w:r>
      <w:r>
        <w:rPr>
          <w:rFonts w:cs="宋体" w:hint="eastAsia"/>
        </w:rPr>
        <w:t>中国在清洁能源领域的合作取得了巨大的发展。自</w:t>
      </w:r>
      <w:r>
        <w:t>1978</w:t>
      </w:r>
      <w:r>
        <w:rPr>
          <w:rFonts w:cs="宋体" w:hint="eastAsia"/>
        </w:rPr>
        <w:t>年美中科学和技术合作协议签署以来，大多数合作的重点一直是就政策问题进行对话和交换意见，以及就分享一般性的非合作技术开发的信息进行的交流。</w:t>
      </w:r>
      <w:r>
        <w:t xml:space="preserve"> 2009</w:t>
      </w:r>
      <w:r>
        <w:rPr>
          <w:rFonts w:cs="宋体" w:hint="eastAsia"/>
        </w:rPr>
        <w:t>年由胡锦涛主席和奥巴马总统倡导的合作新纪元项目包括设立美中清洁能源研究中心（</w:t>
      </w:r>
      <w:r>
        <w:t>CERC</w:t>
      </w:r>
      <w:r>
        <w:rPr>
          <w:rFonts w:cs="宋体" w:hint="eastAsia"/>
        </w:rPr>
        <w:t>），首次开始了由美中两国的研究机构、大学、和私营实业伙伴一起开展的合作研发和示范项目。美中清洁能源研究中心与美国能源部同期创办的美国本土的能源创新中心十分相似。</w:t>
      </w:r>
    </w:p>
    <w:p w:rsidR="00FF6CCE" w:rsidRDefault="00FF6CCE" w:rsidP="00FF6CCE">
      <w:pPr>
        <w:ind w:firstLine="480"/>
      </w:pPr>
      <w:r>
        <w:rPr>
          <w:rFonts w:cs="宋体" w:hint="eastAsia"/>
        </w:rPr>
        <w:t>美中清洁能源扶持体系在若干方面均具有互补性。例如，美国在基础科学和可行性研究方面占优，这主要缘于公共财政扶持的研发，而中国在这方面落后。此外，美国在早期风险资本投资方面具有优势，而中国仍有待于开发一套强有力的风险资本投资体系。然而一旦某项技术开发达到示范和推广阶段，中国政府的扶持优势即可显现，尤其是对那些尚未商业化的技术的扶持，而许多美国的技术却很难走出实验室到达初步示范阶段。</w:t>
      </w:r>
    </w:p>
    <w:p w:rsidR="00FF6CCE" w:rsidRDefault="00FF6CCE" w:rsidP="00FF6CCE">
      <w:pPr>
        <w:ind w:firstLine="480"/>
        <w:jc w:val="center"/>
      </w:pPr>
      <w:r>
        <w:rPr>
          <w:noProof/>
          <w:lang w:eastAsia="en-US"/>
        </w:rPr>
        <w:drawing>
          <wp:inline distT="0" distB="0" distL="0" distR="0">
            <wp:extent cx="5486400" cy="2180590"/>
            <wp:effectExtent l="0" t="0" r="0" b="3810"/>
            <wp:docPr id="53" name="Picture 30"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6400" cy="2180590"/>
                    </a:xfrm>
                    <a:prstGeom prst="rect">
                      <a:avLst/>
                    </a:prstGeom>
                    <a:noFill/>
                    <a:ln>
                      <a:noFill/>
                    </a:ln>
                  </pic:spPr>
                </pic:pic>
              </a:graphicData>
            </a:graphic>
          </wp:inline>
        </w:drawing>
      </w:r>
    </w:p>
    <w:p w:rsidR="00FF6CCE" w:rsidRDefault="00FF6CCE" w:rsidP="00FF6CCE">
      <w:pPr>
        <w:pStyle w:val="a3"/>
        <w:numPr>
          <w:ilvl w:val="0"/>
          <w:numId w:val="11"/>
        </w:numPr>
        <w:ind w:left="900" w:hanging="480"/>
        <w:rPr>
          <w:rFonts w:hint="eastAsia"/>
        </w:rPr>
      </w:pPr>
      <w:bookmarkStart w:id="348" w:name="_Toc392513098"/>
      <w:r>
        <w:rPr>
          <w:rFonts w:hint="eastAsia"/>
        </w:rPr>
        <w:t>美国和中国的国家清洁能源扶持方面的互补性</w:t>
      </w:r>
      <w:bookmarkEnd w:id="348"/>
    </w:p>
    <w:p w:rsidR="00FF6CCE" w:rsidRDefault="00FF6CCE" w:rsidP="00FF6CCE">
      <w:pPr>
        <w:ind w:firstLine="480"/>
      </w:pPr>
      <w:r>
        <w:rPr>
          <w:rFonts w:hint="eastAsia"/>
        </w:rPr>
        <w:t>该等互补性表明，在清洁能源创新体系里的各参与方之间存在着许多合作机会。</w:t>
      </w:r>
      <w:r>
        <w:t xml:space="preserve"> </w:t>
      </w:r>
      <w:r>
        <w:rPr>
          <w:rFonts w:hint="eastAsia"/>
        </w:rPr>
        <w:t>从结果来看，美中两国政府均应为利用美中清洁能源研究中心而审视进一步合作的机会，并进一步让中国和美国的大学、实验室和公司参与进来，尤其是在各自的国家清洁能源扶持体系中建立该等互补性。</w:t>
      </w:r>
    </w:p>
    <w:p w:rsidR="00864A36" w:rsidRDefault="00864A36"/>
    <w:sectPr w:rsidR="00864A3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118" w:rsidRDefault="00B77118" w:rsidP="00CA619C">
      <w:r>
        <w:separator/>
      </w:r>
    </w:p>
  </w:endnote>
  <w:endnote w:type="continuationSeparator" w:id="0">
    <w:p w:rsidR="00B77118" w:rsidRDefault="00B77118" w:rsidP="00CA6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黑体">
    <w:charset w:val="50"/>
    <w:family w:val="auto"/>
    <w:pitch w:val="variable"/>
    <w:sig w:usb0="800002BF" w:usb1="38CF7CFA" w:usb2="00000016" w:usb3="00000000" w:csb0="00040001" w:csb1="00000000"/>
  </w:font>
  <w:font w:name="仿宋_GB2312">
    <w:charset w:val="50"/>
    <w:family w:val="auto"/>
    <w:pitch w:val="variable"/>
    <w:sig w:usb0="00000001" w:usb1="080E0000" w:usb2="00000010" w:usb3="00000000" w:csb0="00040000" w:csb1="00000000"/>
  </w:font>
  <w:font w:name="Times">
    <w:panose1 w:val="02000500000000000000"/>
    <w:charset w:val="00"/>
    <w:family w:val="auto"/>
    <w:pitch w:val="variable"/>
    <w:sig w:usb0="00000003" w:usb1="00000000" w:usb2="00000000" w:usb3="00000000" w:csb0="00000001" w:csb1="00000000"/>
  </w:font>
  <w:font w:name="华文仿宋">
    <w:charset w:val="50"/>
    <w:family w:val="auto"/>
    <w:pitch w:val="variable"/>
    <w:sig w:usb0="00000287" w:usb1="080F0000" w:usb2="00000010" w:usb3="00000000" w:csb0="0004009F" w:csb1="00000000"/>
  </w:font>
  <w:font w:name="Calibri Light">
    <w:altName w:val="Calibri"/>
    <w:charset w:val="00"/>
    <w:family w:val="swiss"/>
    <w:pitch w:val="variable"/>
    <w:sig w:usb0="A00002EF" w:usb1="4000207B" w:usb2="00000000" w:usb3="00000000" w:csb0="0000019F" w:csb1="00000000"/>
  </w:font>
  <w:font w:name="方正兰亭纤黑_GBK">
    <w:altName w:val="宋体"/>
    <w:charset w:val="86"/>
    <w:family w:val="auto"/>
    <w:pitch w:val="default"/>
    <w:sig w:usb0="00000001" w:usb1="08000000" w:usb2="00000000" w:usb3="00000000" w:csb0="00040000"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仿宋">
    <w:charset w:val="50"/>
    <w:family w:val="auto"/>
    <w:pitch w:val="variable"/>
    <w:sig w:usb0="800002BF" w:usb1="38CF7CFA" w:usb2="00000016" w:usb3="00000000" w:csb0="0004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77118" w:rsidRDefault="00B77118">
    <w:pPr>
      <w:pStyle w:val="Footer"/>
      <w:ind w:firstLine="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77118" w:rsidRDefault="00B77118">
    <w:pPr>
      <w:pStyle w:val="Footer"/>
      <w:ind w:firstLine="360"/>
    </w:pPr>
    <w:r>
      <w:pict>
        <v:shapetype id="_x0000_t202" coordsize="21600,21600" o:spt="202" path="m0,0l0,21600,21600,21600,21600,0xe">
          <v:stroke joinstyle="miter"/>
          <v:path gradientshapeok="t" o:connecttype="rect"/>
        </v:shapetype>
        <v:shape id="文本框 20" o:spid="_x0000_s1028" type="#_x0000_t202" style="position:absolute;left:0;text-align:left;margin-left:0;margin-top:0;width:22.55pt;height:10.35pt;z-index:251663360;mso-wrap-style:none;mso-position-horizontal:center;mso-position-horizontal-relative:margin" filled="f" stroked="f">
          <v:textbox style="mso-fit-shape-to-text:t" inset="0,0,0,0">
            <w:txbxContent>
              <w:p w:rsidR="00B77118" w:rsidRDefault="00B77118">
                <w:pPr>
                  <w:snapToGrid w:val="0"/>
                  <w:ind w:firstLine="36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7B3815" w:rsidRPr="007B3815">
                  <w:rPr>
                    <w:noProof/>
                    <w:sz w:val="18"/>
                    <w:lang w:val="en-US" w:eastAsia="en-US"/>
                  </w:rPr>
                  <w:t>6</w:t>
                </w:r>
                <w:r>
                  <w:rPr>
                    <w:rFonts w:hint="eastAsia"/>
                    <w:sz w:val="18"/>
                  </w:rPr>
                  <w:fldChar w:fldCharType="end"/>
                </w:r>
              </w:p>
            </w:txbxContent>
          </v:textbox>
          <w10:wrap anchorx="margin"/>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77118" w:rsidRDefault="00B77118">
    <w:pPr>
      <w:pStyle w:val="Footer"/>
      <w:ind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77118" w:rsidRDefault="00B77118">
    <w:pPr>
      <w:pStyle w:val="Footer"/>
      <w:ind w:firstLine="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77118" w:rsidRDefault="00B77118">
    <w:pPr>
      <w:pStyle w:val="Footer"/>
      <w:ind w:firstLine="360"/>
    </w:pPr>
    <w:r>
      <w:pict>
        <v:shapetype id="_x0000_t202" coordsize="21600,21600" o:spt="202" path="m0,0l0,21600,21600,21600,21600,0xe">
          <v:stroke joinstyle="miter"/>
          <v:path gradientshapeok="t" o:connecttype="rect"/>
        </v:shapetype>
        <v:shape id="文本框 29" o:spid="_x0000_s1025" type="#_x0000_t202" style="position:absolute;left:0;text-align:left;margin-left:0;margin-top:0;width:24.8pt;height:11pt;z-index:251659264;mso-position-horizontal:center;mso-position-horizontal-relative:margin" filled="f" stroked="f">
          <v:textbox inset="0,0,0,0">
            <w:txbxContent>
              <w:p w:rsidR="00B77118" w:rsidRDefault="00B7711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7B3815" w:rsidRPr="007B3815">
                  <w:rPr>
                    <w:noProof/>
                    <w:sz w:val="18"/>
                    <w:lang w:val="en-US" w:eastAsia="en-US"/>
                  </w:rPr>
                  <w:t>6</w:t>
                </w:r>
                <w:r>
                  <w:rPr>
                    <w:rFonts w:hint="eastAsia"/>
                    <w:sz w:val="18"/>
                  </w:rPr>
                  <w:fldChar w:fldCharType="end"/>
                </w:r>
              </w:p>
            </w:txbxContent>
          </v:textbox>
          <w10:wrap anchorx="margin"/>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77118" w:rsidRDefault="00B77118">
    <w:pPr>
      <w:pStyle w:val="Footer"/>
      <w:ind w:firstLine="360"/>
    </w:pPr>
    <w:r>
      <w:pict>
        <v:shapetype id="_x0000_t202" coordsize="21600,21600" o:spt="202" path="m0,0l0,21600,21600,21600,21600,0xe">
          <v:stroke joinstyle="miter"/>
          <v:path gradientshapeok="t" o:connecttype="rect"/>
        </v:shapetype>
        <v:shape id="_x0000_s1027" type="#_x0000_t202" style="position:absolute;left:0;text-align:left;margin-left:0;margin-top:0;width:22.55pt;height:10.35pt;z-index:251661312;mso-wrap-style:none;mso-position-horizontal:center;mso-position-horizontal-relative:margin" filled="f" stroked="f">
          <v:textbox style="mso-fit-shape-to-text:t" inset="0,0,0,0">
            <w:txbxContent>
              <w:p w:rsidR="00B77118" w:rsidRDefault="00B77118">
                <w:pPr>
                  <w:snapToGrid w:val="0"/>
                  <w:ind w:firstLine="36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7B3815" w:rsidRPr="007B3815">
                  <w:rPr>
                    <w:noProof/>
                    <w:sz w:val="18"/>
                    <w:lang w:val="en-US" w:eastAsia="en-US"/>
                  </w:rPr>
                  <w:t>1</w:t>
                </w:r>
                <w:r>
                  <w:rPr>
                    <w:rFonts w:hint="eastAsia"/>
                    <w:sz w:val="18"/>
                  </w:rPr>
                  <w:fldChar w:fldCharType="end"/>
                </w:r>
              </w:p>
            </w:txbxContent>
          </v:textbox>
          <w10:wrap anchorx="margin"/>
        </v:shape>
      </w:pic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77118" w:rsidRDefault="00B77118">
    <w:pPr>
      <w:pStyle w:val="Footer"/>
      <w:ind w:firstLine="360"/>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77118" w:rsidRDefault="00B77118">
    <w:pPr>
      <w:ind w:firstLine="480"/>
    </w:pPr>
    <w:r>
      <w:pict>
        <v:shapetype id="_x0000_t202" coordsize="21600,21600" o:spt="202" path="m0,0l0,21600,21600,21600,21600,0xe">
          <v:stroke joinstyle="miter"/>
          <v:path gradientshapeok="t" o:connecttype="rect"/>
        </v:shapetype>
        <v:shape id="文本框 30" o:spid="_x0000_s1026" type="#_x0000_t202" style="position:absolute;left:0;text-align:left;margin-left:0;margin-top:0;width:27.05pt;height:10.35pt;z-index:251660288;mso-wrap-style:none;mso-position-horizontal:center;mso-position-horizontal-relative:margin" filled="f" stroked="f">
          <v:textbox style="mso-fit-shape-to-text:t" inset="0,0,0,0">
            <w:txbxContent>
              <w:p w:rsidR="00B77118" w:rsidRDefault="00B77118">
                <w:pPr>
                  <w:snapToGrid w:val="0"/>
                  <w:ind w:firstLine="36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7B3815" w:rsidRPr="007B3815">
                  <w:rPr>
                    <w:noProof/>
                    <w:sz w:val="18"/>
                    <w:lang w:val="en-US" w:eastAsia="en-US"/>
                  </w:rPr>
                  <w:t>76</w:t>
                </w:r>
                <w:r>
                  <w:rPr>
                    <w:rFonts w:hint="eastAsia"/>
                    <w:sz w:val="18"/>
                  </w:rPr>
                  <w:fldChar w:fldCharType="end"/>
                </w:r>
              </w:p>
            </w:txbxContent>
          </v:textbox>
          <w10:wrap anchorx="margin"/>
        </v:shape>
      </w:pic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77118" w:rsidRDefault="00B77118">
    <w:pPr>
      <w:pStyle w:val="Footer"/>
      <w:ind w:firstLine="360"/>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77118" w:rsidRDefault="00B77118">
    <w:pPr>
      <w:pStyle w:val="Footer"/>
      <w:ind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118" w:rsidRDefault="00B77118" w:rsidP="00CA619C">
      <w:r>
        <w:separator/>
      </w:r>
    </w:p>
  </w:footnote>
  <w:footnote w:type="continuationSeparator" w:id="0">
    <w:p w:rsidR="00B77118" w:rsidRDefault="00B77118" w:rsidP="00CA619C">
      <w:r>
        <w:continuationSeparator/>
      </w:r>
    </w:p>
  </w:footnote>
  <w:footnote w:id="1">
    <w:p w:rsidR="00B77118" w:rsidRDefault="00B77118" w:rsidP="00CA619C">
      <w:pPr>
        <w:pStyle w:val="FootnoteText"/>
        <w:ind w:firstLineChars="0" w:firstLine="0"/>
        <w:rPr>
          <w:rFonts w:hint="eastAsia"/>
        </w:rPr>
      </w:pPr>
      <w:r>
        <w:rPr>
          <w:rStyle w:val="FootnoteReference"/>
          <w:rFonts w:ascii="宋体" w:hAnsi="宋体"/>
          <w:szCs w:val="21"/>
        </w:rPr>
        <w:footnoteRef/>
      </w:r>
      <w:r>
        <w:t xml:space="preserve"> </w:t>
      </w:r>
      <w:r>
        <w:rPr>
          <w:rFonts w:hint="eastAsia"/>
        </w:rPr>
        <w:t>战略性新兴产业：</w:t>
      </w:r>
      <w:r>
        <w:rPr>
          <w:rFonts w:hint="eastAsia"/>
        </w:rPr>
        <w:t>2010</w:t>
      </w:r>
      <w:r>
        <w:rPr>
          <w:rFonts w:hint="eastAsia"/>
        </w:rPr>
        <w:t>年</w:t>
      </w:r>
      <w:r>
        <w:rPr>
          <w:rFonts w:hint="eastAsia"/>
        </w:rPr>
        <w:t>9</w:t>
      </w:r>
      <w:r>
        <w:rPr>
          <w:rFonts w:hint="eastAsia"/>
        </w:rPr>
        <w:t>月国务院常务会议明确将重点培育和发展节能环保、新一代信息技术、生物、高端装备制造、新能源、新材料、新能源汽车等七大产业。</w:t>
      </w:r>
      <w:r>
        <w:rPr>
          <w:rFonts w:hint="eastAsia"/>
        </w:rPr>
        <w:t>2011</w:t>
      </w:r>
      <w:r>
        <w:rPr>
          <w:rFonts w:hint="eastAsia"/>
        </w:rPr>
        <w:t>年</w:t>
      </w:r>
      <w:r>
        <w:rPr>
          <w:rFonts w:hint="eastAsia"/>
        </w:rPr>
        <w:t>3</w:t>
      </w:r>
      <w:r>
        <w:rPr>
          <w:rFonts w:hint="eastAsia"/>
        </w:rPr>
        <w:t>月，全国人大审议通过的“十二五”规划纲要，确定了要以加快转变经济发展方式为主线，把科技进步和创新作为加快转方式的重要支撑等重要指导思想，提出了以重大技术突破和重大需要需求为基础，促进新兴科技和新兴产业深度融合，在继续做强做大高技术产业的基础上，把战略性新兴产业发展成为国民经济的先导性、支柱性产业的重要任务。</w:t>
      </w:r>
    </w:p>
  </w:footnote>
  <w:footnote w:id="2">
    <w:p w:rsidR="00B77118" w:rsidRDefault="00B77118" w:rsidP="00CA619C">
      <w:pPr>
        <w:pStyle w:val="FootnoteText"/>
        <w:spacing w:line="240" w:lineRule="auto"/>
        <w:ind w:firstLineChars="0" w:firstLine="0"/>
        <w:rPr>
          <w:sz w:val="21"/>
          <w:szCs w:val="21"/>
        </w:rPr>
      </w:pPr>
      <w:r>
        <w:rPr>
          <w:rStyle w:val="FootnoteReference"/>
          <w:szCs w:val="21"/>
        </w:rPr>
        <w:footnoteRef/>
      </w:r>
      <w:r>
        <w:rPr>
          <w:sz w:val="21"/>
          <w:szCs w:val="21"/>
        </w:rPr>
        <w:t xml:space="preserve"> </w:t>
      </w:r>
      <w:r>
        <w:rPr>
          <w:rFonts w:hint="eastAsia"/>
          <w:sz w:val="21"/>
          <w:szCs w:val="21"/>
        </w:rPr>
        <w:t>美国“页岩气革命”是否使风电开发停滞</w:t>
      </w:r>
      <w:r>
        <w:rPr>
          <w:rFonts w:hint="eastAsia"/>
          <w:sz w:val="21"/>
          <w:szCs w:val="21"/>
        </w:rPr>
        <w:t>[eb/l]</w:t>
      </w:r>
      <w:r>
        <w:rPr>
          <w:rFonts w:hint="eastAsia"/>
          <w:sz w:val="21"/>
          <w:szCs w:val="21"/>
        </w:rPr>
        <w:t>，</w:t>
      </w:r>
      <w:r>
        <w:rPr>
          <w:rFonts w:hint="eastAsia"/>
          <w:sz w:val="21"/>
          <w:szCs w:val="21"/>
        </w:rPr>
        <w:t>http://www.gmw.cn/ny/2013-07/09/content_8223281.htm</w:t>
      </w:r>
    </w:p>
  </w:footnote>
  <w:footnote w:id="3">
    <w:p w:rsidR="00B77118" w:rsidRDefault="00B77118" w:rsidP="00CA619C">
      <w:pPr>
        <w:pStyle w:val="FootnoteText"/>
        <w:spacing w:line="240" w:lineRule="auto"/>
        <w:ind w:firstLineChars="0" w:firstLine="0"/>
        <w:rPr>
          <w:sz w:val="21"/>
          <w:szCs w:val="21"/>
        </w:rPr>
      </w:pPr>
      <w:r>
        <w:rPr>
          <w:rStyle w:val="FootnoteReference"/>
          <w:szCs w:val="21"/>
        </w:rPr>
        <w:footnoteRef/>
      </w:r>
      <w:r>
        <w:rPr>
          <w:sz w:val="21"/>
          <w:szCs w:val="21"/>
        </w:rPr>
        <w:t xml:space="preserve"> </w:t>
      </w:r>
      <w:r>
        <w:rPr>
          <w:rFonts w:hint="eastAsia"/>
          <w:sz w:val="21"/>
          <w:szCs w:val="21"/>
        </w:rPr>
        <w:t>美国三年内新增五万个太阳能就业岗位，</w:t>
      </w:r>
      <w:r>
        <w:rPr>
          <w:rFonts w:hint="eastAsia"/>
          <w:sz w:val="21"/>
          <w:szCs w:val="21"/>
        </w:rPr>
        <w:t>http://www.pvnews.cn/chanyeyaowen/2014-02-17/95570.html</w:t>
      </w:r>
    </w:p>
  </w:footnote>
  <w:footnote w:id="4">
    <w:p w:rsidR="00B77118" w:rsidRDefault="00B77118" w:rsidP="00CA619C">
      <w:pPr>
        <w:pStyle w:val="FootnoteText"/>
        <w:spacing w:line="240" w:lineRule="auto"/>
        <w:ind w:firstLineChars="0" w:firstLine="0"/>
      </w:pPr>
      <w:r>
        <w:rPr>
          <w:rStyle w:val="FootnoteReference"/>
          <w:szCs w:val="21"/>
        </w:rPr>
        <w:footnoteRef/>
      </w:r>
      <w:r>
        <w:rPr>
          <w:sz w:val="21"/>
          <w:szCs w:val="21"/>
        </w:rPr>
        <w:t xml:space="preserve"> </w:t>
      </w:r>
      <w:r>
        <w:rPr>
          <w:rFonts w:hint="eastAsia"/>
          <w:sz w:val="21"/>
          <w:szCs w:val="21"/>
        </w:rPr>
        <w:t>IHS, Economic and Employment Contributions of Shale Gas in the United States, Dec 2011</w:t>
      </w:r>
    </w:p>
  </w:footnote>
  <w:footnote w:id="5">
    <w:p w:rsidR="00B77118" w:rsidRDefault="00B77118" w:rsidP="00CA619C">
      <w:pPr>
        <w:pStyle w:val="FootnoteText"/>
        <w:spacing w:line="240" w:lineRule="auto"/>
        <w:ind w:firstLineChars="0" w:firstLine="0"/>
      </w:pPr>
      <w:r>
        <w:rPr>
          <w:rStyle w:val="FootnoteReference"/>
        </w:rPr>
        <w:footnoteRef/>
      </w:r>
      <w:r>
        <w:t xml:space="preserve"> </w:t>
      </w:r>
      <w:r>
        <w:rPr>
          <w:rFonts w:hint="eastAsia"/>
        </w:rPr>
        <w:t>全国可再生能源补贴缺口将越来越大，</w:t>
      </w:r>
      <w:r>
        <w:rPr>
          <w:rFonts w:hint="eastAsia"/>
        </w:rPr>
        <w:t>http://www.chyxx.com/data/201309/219349.html</w:t>
      </w:r>
    </w:p>
  </w:footnote>
  <w:footnote w:id="6">
    <w:p w:rsidR="00B77118" w:rsidRDefault="00B77118" w:rsidP="00CA619C">
      <w:pPr>
        <w:pStyle w:val="FootnoteText"/>
        <w:spacing w:line="240" w:lineRule="auto"/>
        <w:ind w:firstLineChars="0" w:firstLine="0"/>
        <w:rPr>
          <w:rFonts w:hint="eastAsia"/>
          <w:sz w:val="21"/>
          <w:szCs w:val="21"/>
        </w:rPr>
      </w:pPr>
      <w:r>
        <w:rPr>
          <w:rStyle w:val="FootnoteReference"/>
          <w:szCs w:val="21"/>
        </w:rPr>
        <w:footnoteRef/>
      </w:r>
      <w:r>
        <w:rPr>
          <w:sz w:val="21"/>
          <w:szCs w:val="21"/>
        </w:rPr>
        <w:t xml:space="preserve"> </w:t>
      </w:r>
      <w:r>
        <w:rPr>
          <w:rFonts w:hint="eastAsia"/>
          <w:sz w:val="21"/>
          <w:szCs w:val="21"/>
        </w:rPr>
        <w:t>2012</w:t>
      </w:r>
      <w:r>
        <w:rPr>
          <w:rFonts w:hint="eastAsia"/>
          <w:sz w:val="21"/>
          <w:szCs w:val="21"/>
        </w:rPr>
        <w:t>年美国风电占全美电力供应</w:t>
      </w:r>
      <w:r>
        <w:rPr>
          <w:rFonts w:hint="eastAsia"/>
          <w:sz w:val="21"/>
          <w:szCs w:val="21"/>
        </w:rPr>
        <w:t>6%</w:t>
      </w:r>
      <w:r>
        <w:rPr>
          <w:rFonts w:hint="eastAsia"/>
          <w:sz w:val="21"/>
          <w:szCs w:val="21"/>
        </w:rPr>
        <w:t>，风能，</w:t>
      </w:r>
      <w:r>
        <w:rPr>
          <w:rFonts w:hint="eastAsia"/>
          <w:sz w:val="21"/>
          <w:szCs w:val="21"/>
        </w:rPr>
        <w:t>2013.</w:t>
      </w:r>
    </w:p>
  </w:footnote>
  <w:footnote w:id="7">
    <w:p w:rsidR="00B77118" w:rsidRDefault="00B77118" w:rsidP="00CA619C">
      <w:pPr>
        <w:pStyle w:val="FootnoteText"/>
        <w:spacing w:line="240" w:lineRule="auto"/>
        <w:ind w:firstLineChars="0" w:firstLine="0"/>
        <w:rPr>
          <w:rFonts w:ascii="宋体" w:hAnsi="宋体" w:hint="eastAsia"/>
          <w:sz w:val="21"/>
          <w:szCs w:val="21"/>
        </w:rPr>
      </w:pPr>
      <w:r>
        <w:rPr>
          <w:rStyle w:val="FootnoteReference"/>
          <w:rFonts w:ascii="宋体" w:hAnsi="宋体"/>
          <w:szCs w:val="21"/>
        </w:rPr>
        <w:footnoteRef/>
      </w:r>
      <w:r>
        <w:rPr>
          <w:rFonts w:ascii="宋体" w:hAnsi="宋体"/>
          <w:sz w:val="21"/>
          <w:szCs w:val="21"/>
        </w:rPr>
        <w:t xml:space="preserve"> </w:t>
      </w:r>
      <w:bookmarkStart w:id="22" w:name="OLE_LINK1"/>
      <w:r>
        <w:rPr>
          <w:rFonts w:ascii="宋体" w:hAnsi="宋体" w:hint="eastAsia"/>
          <w:sz w:val="21"/>
          <w:szCs w:val="21"/>
        </w:rPr>
        <w:t>美国能源部，2012</w:t>
      </w:r>
      <w:r>
        <w:rPr>
          <w:rFonts w:ascii="宋体" w:hAnsi="宋体"/>
          <w:sz w:val="21"/>
          <w:szCs w:val="21"/>
        </w:rPr>
        <w:t xml:space="preserve"> </w:t>
      </w:r>
      <w:r>
        <w:rPr>
          <w:rFonts w:ascii="宋体" w:hAnsi="宋体" w:hint="eastAsia"/>
          <w:sz w:val="21"/>
          <w:szCs w:val="21"/>
        </w:rPr>
        <w:t>W</w:t>
      </w:r>
      <w:r>
        <w:rPr>
          <w:rFonts w:ascii="宋体" w:hAnsi="宋体"/>
          <w:sz w:val="21"/>
          <w:szCs w:val="21"/>
        </w:rPr>
        <w:t xml:space="preserve">ind </w:t>
      </w:r>
      <w:r>
        <w:rPr>
          <w:rFonts w:ascii="宋体" w:hAnsi="宋体" w:hint="eastAsia"/>
          <w:sz w:val="21"/>
          <w:szCs w:val="21"/>
        </w:rPr>
        <w:t>T</w:t>
      </w:r>
      <w:r>
        <w:rPr>
          <w:rFonts w:ascii="宋体" w:hAnsi="宋体"/>
          <w:sz w:val="21"/>
          <w:szCs w:val="21"/>
        </w:rPr>
        <w:t xml:space="preserve">echnologies </w:t>
      </w:r>
      <w:r>
        <w:rPr>
          <w:rFonts w:ascii="宋体" w:hAnsi="宋体" w:hint="eastAsia"/>
          <w:sz w:val="21"/>
          <w:szCs w:val="21"/>
        </w:rPr>
        <w:t>M</w:t>
      </w:r>
      <w:r>
        <w:rPr>
          <w:rFonts w:ascii="宋体" w:hAnsi="宋体"/>
          <w:sz w:val="21"/>
          <w:szCs w:val="21"/>
        </w:rPr>
        <w:t xml:space="preserve">arket </w:t>
      </w:r>
      <w:r>
        <w:rPr>
          <w:rFonts w:ascii="宋体" w:hAnsi="宋体" w:hint="eastAsia"/>
          <w:sz w:val="21"/>
          <w:szCs w:val="21"/>
        </w:rPr>
        <w:t>R</w:t>
      </w:r>
      <w:r>
        <w:rPr>
          <w:rFonts w:ascii="宋体" w:hAnsi="宋体"/>
          <w:sz w:val="21"/>
          <w:szCs w:val="21"/>
        </w:rPr>
        <w:t>eport</w:t>
      </w:r>
      <w:r>
        <w:rPr>
          <w:rFonts w:ascii="宋体" w:hAnsi="宋体" w:hint="eastAsia"/>
          <w:sz w:val="21"/>
          <w:szCs w:val="21"/>
        </w:rPr>
        <w:t>.</w:t>
      </w:r>
      <w:bookmarkEnd w:id="22"/>
    </w:p>
  </w:footnote>
  <w:footnote w:id="8">
    <w:p w:rsidR="00B77118" w:rsidRDefault="00B77118" w:rsidP="00CA619C">
      <w:pPr>
        <w:pStyle w:val="FootnoteText"/>
        <w:spacing w:line="240" w:lineRule="auto"/>
        <w:ind w:firstLineChars="0" w:firstLine="0"/>
      </w:pPr>
      <w:r>
        <w:rPr>
          <w:rStyle w:val="FootnoteReference"/>
          <w:rFonts w:ascii="宋体" w:hAnsi="宋体"/>
          <w:szCs w:val="21"/>
        </w:rPr>
        <w:footnoteRef/>
      </w:r>
      <w:r>
        <w:rPr>
          <w:rFonts w:ascii="宋体" w:hAnsi="宋体"/>
          <w:sz w:val="21"/>
          <w:szCs w:val="21"/>
        </w:rPr>
        <w:t xml:space="preserve"> </w:t>
      </w:r>
      <w:r>
        <w:rPr>
          <w:rFonts w:ascii="宋体" w:hAnsi="宋体" w:hint="eastAsia"/>
          <w:sz w:val="21"/>
          <w:szCs w:val="21"/>
        </w:rPr>
        <w:t>张 健，美国风电发展现状分析，全球科技经济瞭望[J]，2013(05)</w:t>
      </w:r>
    </w:p>
  </w:footnote>
  <w:footnote w:id="9">
    <w:p w:rsidR="00B77118" w:rsidRDefault="00B77118" w:rsidP="00CA619C">
      <w:pPr>
        <w:pStyle w:val="FootnoteText"/>
        <w:spacing w:line="240" w:lineRule="auto"/>
        <w:ind w:firstLineChars="0" w:firstLine="0"/>
        <w:rPr>
          <w:sz w:val="21"/>
          <w:szCs w:val="21"/>
        </w:rPr>
      </w:pPr>
      <w:r>
        <w:rPr>
          <w:rStyle w:val="FootnoteReference"/>
          <w:szCs w:val="21"/>
        </w:rPr>
        <w:footnoteRef/>
      </w:r>
      <w:r>
        <w:rPr>
          <w:sz w:val="21"/>
          <w:szCs w:val="21"/>
        </w:rPr>
        <w:t xml:space="preserve"> </w:t>
      </w:r>
      <w:r>
        <w:rPr>
          <w:rFonts w:hint="eastAsia"/>
          <w:sz w:val="21"/>
          <w:szCs w:val="21"/>
        </w:rPr>
        <w:t>2013</w:t>
      </w:r>
      <w:r>
        <w:rPr>
          <w:rFonts w:hint="eastAsia"/>
          <w:sz w:val="21"/>
          <w:szCs w:val="21"/>
        </w:rPr>
        <w:t>中国风电发展报告</w:t>
      </w:r>
    </w:p>
  </w:footnote>
  <w:footnote w:id="10">
    <w:p w:rsidR="00B77118" w:rsidRDefault="00B77118" w:rsidP="00CA619C">
      <w:pPr>
        <w:pStyle w:val="FootnoteText"/>
        <w:spacing w:line="240" w:lineRule="auto"/>
        <w:ind w:firstLineChars="0" w:firstLine="0"/>
        <w:rPr>
          <w:sz w:val="21"/>
          <w:szCs w:val="21"/>
        </w:rPr>
      </w:pPr>
      <w:r>
        <w:rPr>
          <w:rStyle w:val="FootnoteReference"/>
          <w:szCs w:val="21"/>
        </w:rPr>
        <w:footnoteRef/>
      </w:r>
      <w:r>
        <w:rPr>
          <w:sz w:val="21"/>
          <w:szCs w:val="21"/>
        </w:rPr>
        <w:t xml:space="preserve"> </w:t>
      </w:r>
      <w:r>
        <w:rPr>
          <w:rFonts w:hint="eastAsia"/>
          <w:sz w:val="21"/>
          <w:szCs w:val="21"/>
        </w:rPr>
        <w:t>中国储能网，电池储能技术国内外发展现状，</w:t>
      </w:r>
      <w:hyperlink r:id="rId1" w:history="1">
        <w:r>
          <w:rPr>
            <w:rStyle w:val="Hyperlink"/>
            <w:szCs w:val="21"/>
          </w:rPr>
          <w:t>http://www.escn.com.cn/2012/0116/120207.html</w:t>
        </w:r>
      </w:hyperlink>
      <w:r>
        <w:rPr>
          <w:rFonts w:hint="eastAsia"/>
          <w:sz w:val="21"/>
          <w:szCs w:val="21"/>
        </w:rPr>
        <w:t xml:space="preserve"> </w:t>
      </w:r>
    </w:p>
  </w:footnote>
  <w:footnote w:id="11">
    <w:p w:rsidR="00B77118" w:rsidRDefault="00B77118" w:rsidP="00CA619C">
      <w:pPr>
        <w:pStyle w:val="FootnoteText"/>
        <w:spacing w:line="240" w:lineRule="auto"/>
        <w:ind w:firstLineChars="0" w:firstLine="0"/>
        <w:rPr>
          <w:sz w:val="21"/>
          <w:szCs w:val="21"/>
        </w:rPr>
      </w:pPr>
      <w:r>
        <w:rPr>
          <w:rStyle w:val="FootnoteReference"/>
          <w:szCs w:val="21"/>
        </w:rPr>
        <w:footnoteRef/>
      </w:r>
      <w:r>
        <w:rPr>
          <w:sz w:val="21"/>
          <w:szCs w:val="21"/>
        </w:rPr>
        <w:t xml:space="preserve"> </w:t>
      </w:r>
      <w:r>
        <w:rPr>
          <w:rFonts w:hint="eastAsia"/>
          <w:sz w:val="21"/>
          <w:szCs w:val="21"/>
        </w:rPr>
        <w:t xml:space="preserve">Electricity Advisory Committee, </w:t>
      </w:r>
      <w:r>
        <w:rPr>
          <w:sz w:val="21"/>
          <w:szCs w:val="21"/>
        </w:rPr>
        <w:t>“Energy Storage Activities in the United States Electricity Grid”</w:t>
      </w:r>
      <w:r>
        <w:rPr>
          <w:rFonts w:hint="eastAsia"/>
          <w:sz w:val="21"/>
          <w:szCs w:val="21"/>
        </w:rPr>
        <w:t>,</w:t>
      </w:r>
      <w:r>
        <w:rPr>
          <w:rFonts w:hint="eastAsia"/>
          <w:sz w:val="21"/>
          <w:szCs w:val="21"/>
        </w:rPr>
        <w:t>，</w:t>
      </w:r>
      <w:r>
        <w:rPr>
          <w:rFonts w:hint="eastAsia"/>
          <w:sz w:val="21"/>
          <w:szCs w:val="21"/>
        </w:rPr>
        <w:t>May</w:t>
      </w:r>
      <w:r>
        <w:rPr>
          <w:rFonts w:hint="eastAsia"/>
          <w:sz w:val="21"/>
          <w:szCs w:val="21"/>
        </w:rPr>
        <w:t>，</w:t>
      </w:r>
      <w:r>
        <w:rPr>
          <w:rFonts w:hint="eastAsia"/>
          <w:sz w:val="21"/>
          <w:szCs w:val="21"/>
        </w:rPr>
        <w:t>2011</w:t>
      </w:r>
    </w:p>
  </w:footnote>
  <w:footnote w:id="12">
    <w:p w:rsidR="00B77118" w:rsidRDefault="00B77118" w:rsidP="00CA619C">
      <w:pPr>
        <w:pStyle w:val="FootnoteText"/>
        <w:spacing w:line="240" w:lineRule="auto"/>
        <w:ind w:firstLineChars="0" w:firstLine="0"/>
        <w:rPr>
          <w:sz w:val="21"/>
          <w:szCs w:val="21"/>
        </w:rPr>
      </w:pPr>
      <w:r>
        <w:rPr>
          <w:rStyle w:val="FootnoteReference"/>
          <w:szCs w:val="21"/>
        </w:rPr>
        <w:footnoteRef/>
      </w:r>
      <w:r>
        <w:rPr>
          <w:sz w:val="21"/>
          <w:szCs w:val="21"/>
        </w:rPr>
        <w:t xml:space="preserve"> </w:t>
      </w:r>
      <w:r>
        <w:rPr>
          <w:rFonts w:hint="eastAsia"/>
          <w:sz w:val="21"/>
          <w:szCs w:val="21"/>
        </w:rPr>
        <w:t>美国在新能源技术创新能力上的来源，</w:t>
      </w:r>
      <w:r>
        <w:rPr>
          <w:rFonts w:hint="eastAsia"/>
          <w:sz w:val="21"/>
          <w:szCs w:val="21"/>
        </w:rPr>
        <w:t xml:space="preserve">http://zixun.dlzj.net/hangye-xinwen/45448 </w:t>
      </w:r>
    </w:p>
  </w:footnote>
  <w:footnote w:id="13">
    <w:p w:rsidR="00B77118" w:rsidRDefault="00B77118" w:rsidP="00CA619C">
      <w:pPr>
        <w:pStyle w:val="FootnoteText"/>
        <w:spacing w:line="240" w:lineRule="auto"/>
        <w:ind w:firstLineChars="0" w:firstLine="0"/>
        <w:rPr>
          <w:sz w:val="21"/>
          <w:szCs w:val="21"/>
        </w:rPr>
      </w:pPr>
      <w:r>
        <w:rPr>
          <w:rStyle w:val="FootnoteReference"/>
          <w:szCs w:val="21"/>
        </w:rPr>
        <w:footnoteRef/>
      </w:r>
      <w:r>
        <w:rPr>
          <w:sz w:val="21"/>
          <w:szCs w:val="21"/>
        </w:rPr>
        <w:t xml:space="preserve"> </w:t>
      </w:r>
      <w:r>
        <w:rPr>
          <w:rFonts w:hint="eastAsia"/>
          <w:sz w:val="21"/>
          <w:szCs w:val="21"/>
        </w:rPr>
        <w:t>美国的科技体制和科技创新，资料卡片杂志，</w:t>
      </w:r>
      <w:hyperlink r:id="rId2" w:history="1">
        <w:r>
          <w:rPr>
            <w:rStyle w:val="Hyperlink"/>
            <w:szCs w:val="21"/>
          </w:rPr>
          <w:t>http://news.xinhuanet.com/banyt/2004-04/08/content_1407903.htm</w:t>
        </w:r>
      </w:hyperlink>
      <w:r>
        <w:rPr>
          <w:rFonts w:hint="eastAsia"/>
          <w:sz w:val="21"/>
          <w:szCs w:val="21"/>
        </w:rPr>
        <w:t xml:space="preserve"> </w:t>
      </w:r>
    </w:p>
  </w:footnote>
  <w:footnote w:id="14">
    <w:p w:rsidR="00B77118" w:rsidRDefault="00B77118" w:rsidP="00CA619C">
      <w:pPr>
        <w:pStyle w:val="FootnoteText"/>
        <w:spacing w:line="240" w:lineRule="auto"/>
        <w:ind w:firstLineChars="0" w:firstLine="0"/>
        <w:rPr>
          <w:sz w:val="21"/>
          <w:szCs w:val="21"/>
        </w:rPr>
      </w:pPr>
      <w:r>
        <w:rPr>
          <w:rStyle w:val="FootnoteReference"/>
          <w:szCs w:val="21"/>
        </w:rPr>
        <w:footnoteRef/>
      </w:r>
      <w:r>
        <w:rPr>
          <w:sz w:val="21"/>
          <w:szCs w:val="21"/>
        </w:rPr>
        <w:t xml:space="preserve"> </w:t>
      </w:r>
      <w:r>
        <w:rPr>
          <w:rFonts w:hint="eastAsia"/>
          <w:sz w:val="21"/>
          <w:szCs w:val="21"/>
        </w:rPr>
        <w:t>美国的科技体制和科技创新，资料卡片杂志，</w:t>
      </w:r>
      <w:hyperlink r:id="rId3" w:history="1">
        <w:r>
          <w:rPr>
            <w:rStyle w:val="Hyperlink"/>
            <w:szCs w:val="21"/>
          </w:rPr>
          <w:t>http://news.xinhuanet.com/banyt/2004-04/08/content_1407903.htm</w:t>
        </w:r>
      </w:hyperlink>
      <w:r>
        <w:rPr>
          <w:rFonts w:hint="eastAsia"/>
          <w:sz w:val="21"/>
          <w:szCs w:val="21"/>
        </w:rPr>
        <w:t xml:space="preserve"> </w:t>
      </w:r>
    </w:p>
  </w:footnote>
  <w:footnote w:id="15">
    <w:p w:rsidR="00B77118" w:rsidRDefault="00B77118" w:rsidP="00CA619C">
      <w:pPr>
        <w:pStyle w:val="FootnoteText"/>
        <w:spacing w:line="240" w:lineRule="auto"/>
        <w:ind w:firstLineChars="0" w:firstLine="0"/>
      </w:pPr>
      <w:r>
        <w:rPr>
          <w:rStyle w:val="FootnoteReference"/>
          <w:szCs w:val="21"/>
        </w:rPr>
        <w:footnoteRef/>
      </w:r>
      <w:r>
        <w:rPr>
          <w:rFonts w:hint="eastAsia"/>
          <w:sz w:val="21"/>
          <w:szCs w:val="21"/>
        </w:rPr>
        <w:t>美国能源部，《</w:t>
      </w:r>
      <w:r>
        <w:rPr>
          <w:rFonts w:hint="eastAsia"/>
          <w:sz w:val="21"/>
          <w:szCs w:val="21"/>
        </w:rPr>
        <w:t>Strategic Plan</w:t>
      </w:r>
      <w:r>
        <w:rPr>
          <w:rFonts w:hint="eastAsia"/>
          <w:sz w:val="21"/>
          <w:szCs w:val="21"/>
        </w:rPr>
        <w:t>》，</w:t>
      </w:r>
      <w:r>
        <w:rPr>
          <w:rFonts w:hint="eastAsia"/>
          <w:sz w:val="21"/>
          <w:szCs w:val="21"/>
        </w:rPr>
        <w:t>2011</w:t>
      </w:r>
      <w:r>
        <w:rPr>
          <w:rFonts w:hint="eastAsia"/>
          <w:sz w:val="21"/>
          <w:szCs w:val="21"/>
        </w:rPr>
        <w:t>年</w:t>
      </w:r>
      <w:r>
        <w:rPr>
          <w:rFonts w:hint="eastAsia"/>
          <w:sz w:val="21"/>
          <w:szCs w:val="21"/>
        </w:rPr>
        <w:t>5</w:t>
      </w:r>
      <w:r>
        <w:rPr>
          <w:rFonts w:hint="eastAsia"/>
          <w:sz w:val="21"/>
          <w:szCs w:val="21"/>
        </w:rPr>
        <w:t>月</w:t>
      </w:r>
    </w:p>
  </w:footnote>
  <w:footnote w:id="16">
    <w:p w:rsidR="00B77118" w:rsidRDefault="00B77118" w:rsidP="00CA619C">
      <w:pPr>
        <w:pStyle w:val="FootnoteText"/>
        <w:ind w:firstLineChars="0" w:firstLine="0"/>
      </w:pPr>
      <w:r>
        <w:rPr>
          <w:rStyle w:val="FootnoteReference"/>
        </w:rPr>
        <w:footnoteRef/>
      </w:r>
      <w:r>
        <w:t xml:space="preserve"> </w:t>
      </w:r>
      <w:r>
        <w:rPr>
          <w:rFonts w:hint="eastAsia"/>
        </w:rPr>
        <w:t>铅碳电池厂商</w:t>
      </w:r>
      <w:r>
        <w:rPr>
          <w:rFonts w:hint="eastAsia"/>
        </w:rPr>
        <w:t>Axion Power</w:t>
      </w:r>
      <w:r>
        <w:rPr>
          <w:rFonts w:hint="eastAsia"/>
        </w:rPr>
        <w:t>先进储能系统获</w:t>
      </w:r>
      <w:r>
        <w:rPr>
          <w:rFonts w:hint="eastAsia"/>
        </w:rPr>
        <w:t>PJM</w:t>
      </w:r>
      <w:r>
        <w:rPr>
          <w:rFonts w:hint="eastAsia"/>
        </w:rPr>
        <w:t>电网公司订单，中国储能网，</w:t>
      </w:r>
      <w:hyperlink r:id="rId4" w:history="1">
        <w:r>
          <w:rPr>
            <w:rStyle w:val="Hyperlink"/>
          </w:rPr>
          <w:t>http://www.escn.com.cn/2011/1123/53408.html</w:t>
        </w:r>
      </w:hyperlink>
      <w:r>
        <w:rPr>
          <w:rFonts w:hint="eastAsia"/>
        </w:rPr>
        <w:t xml:space="preserve"> </w:t>
      </w:r>
    </w:p>
  </w:footnote>
  <w:footnote w:id="17">
    <w:p w:rsidR="00B77118" w:rsidRDefault="00B77118" w:rsidP="00CA619C">
      <w:pPr>
        <w:pStyle w:val="FootnoteText"/>
        <w:spacing w:line="240" w:lineRule="auto"/>
        <w:ind w:firstLineChars="0" w:firstLine="0"/>
      </w:pPr>
      <w:r>
        <w:rPr>
          <w:rStyle w:val="FootnoteReference"/>
        </w:rPr>
        <w:footnoteRef/>
      </w:r>
      <w:r>
        <w:rPr>
          <w:rFonts w:hint="eastAsia"/>
        </w:rPr>
        <w:t>美国能源部，《</w:t>
      </w:r>
      <w:r>
        <w:rPr>
          <w:rFonts w:hint="eastAsia"/>
        </w:rPr>
        <w:t>Strategic Plan</w:t>
      </w:r>
      <w:r>
        <w:rPr>
          <w:rFonts w:hint="eastAsia"/>
        </w:rPr>
        <w:t>》，</w:t>
      </w:r>
      <w:r>
        <w:rPr>
          <w:rFonts w:hint="eastAsia"/>
        </w:rPr>
        <w:t>2011</w:t>
      </w:r>
      <w:r>
        <w:rPr>
          <w:rFonts w:hint="eastAsia"/>
        </w:rPr>
        <w:t>年</w:t>
      </w:r>
      <w:r>
        <w:rPr>
          <w:rFonts w:hint="eastAsia"/>
        </w:rPr>
        <w:t>5</w:t>
      </w:r>
      <w:r>
        <w:rPr>
          <w:rFonts w:hint="eastAsia"/>
        </w:rPr>
        <w:t>月</w:t>
      </w:r>
    </w:p>
  </w:footnote>
  <w:footnote w:id="18">
    <w:p w:rsidR="00B77118" w:rsidRDefault="00B77118" w:rsidP="00CA619C">
      <w:pPr>
        <w:pStyle w:val="FootnoteText"/>
        <w:spacing w:line="240" w:lineRule="auto"/>
        <w:ind w:firstLineChars="0" w:firstLine="0"/>
      </w:pPr>
      <w:r>
        <w:rPr>
          <w:rStyle w:val="FootnoteReference"/>
        </w:rPr>
        <w:footnoteRef/>
      </w:r>
      <w:r>
        <w:t xml:space="preserve"> </w:t>
      </w:r>
      <w:r>
        <w:rPr>
          <w:rFonts w:hint="eastAsia"/>
        </w:rPr>
        <w:t>美国新能源技术专利出现爆炸性增长，</w:t>
      </w:r>
      <w:hyperlink r:id="rId5" w:history="1">
        <w:r>
          <w:rPr>
            <w:rStyle w:val="Hyperlink"/>
          </w:rPr>
          <w:t>http://www.forbeschina.com/review/201105/0009382.shtml</w:t>
        </w:r>
      </w:hyperlink>
      <w:r>
        <w:rPr>
          <w:rFonts w:hint="eastAsia"/>
        </w:rPr>
        <w:t xml:space="preserve"> </w:t>
      </w:r>
    </w:p>
  </w:footnote>
  <w:footnote w:id="19">
    <w:p w:rsidR="00B77118" w:rsidRDefault="00B77118" w:rsidP="00CA619C">
      <w:pPr>
        <w:pStyle w:val="FootnoteText"/>
        <w:spacing w:line="240" w:lineRule="auto"/>
        <w:ind w:firstLineChars="0" w:firstLine="0"/>
        <w:rPr>
          <w:rFonts w:ascii="宋体" w:hAnsi="宋体"/>
        </w:rPr>
      </w:pPr>
      <w:r>
        <w:rPr>
          <w:rStyle w:val="FootnoteReference"/>
          <w:rFonts w:ascii="宋体" w:hAnsi="宋体"/>
        </w:rPr>
        <w:footnoteRef/>
      </w:r>
      <w:r>
        <w:rPr>
          <w:rFonts w:ascii="宋体" w:hAnsi="宋体"/>
        </w:rPr>
        <w:t xml:space="preserve"> </w:t>
      </w:r>
      <w:r>
        <w:rPr>
          <w:rFonts w:ascii="宋体" w:hAnsi="宋体" w:hint="eastAsia"/>
        </w:rPr>
        <w:t>上海科技情报所，宋鸿，“美国新能源政策的转变对我国可再生能源的影响”，电力与能源，2011年，</w:t>
      </w:r>
      <w:hyperlink r:id="rId6" w:history="1">
        <w:r>
          <w:rPr>
            <w:rStyle w:val="Hyperlink"/>
            <w:rFonts w:ascii="宋体" w:hAnsi="宋体"/>
          </w:rPr>
          <w:t>http://www.docin.com/p-451691935.html</w:t>
        </w:r>
      </w:hyperlink>
      <w:r>
        <w:rPr>
          <w:rFonts w:ascii="宋体" w:hAnsi="宋体" w:hint="eastAsia"/>
        </w:rPr>
        <w:t xml:space="preserve"> </w:t>
      </w:r>
    </w:p>
  </w:footnote>
  <w:footnote w:id="20">
    <w:p w:rsidR="00B77118" w:rsidRDefault="00B77118" w:rsidP="00CA619C">
      <w:pPr>
        <w:pStyle w:val="FootnoteText"/>
        <w:spacing w:line="240" w:lineRule="auto"/>
        <w:ind w:firstLineChars="0" w:firstLine="0"/>
      </w:pPr>
      <w:r>
        <w:rPr>
          <w:rStyle w:val="FootnoteReference"/>
          <w:rFonts w:ascii="宋体" w:hAnsi="宋体"/>
        </w:rPr>
        <w:footnoteRef/>
      </w:r>
      <w:r>
        <w:rPr>
          <w:rFonts w:ascii="宋体" w:hAnsi="宋体"/>
        </w:rPr>
        <w:t xml:space="preserve"> </w:t>
      </w:r>
      <w:r>
        <w:rPr>
          <w:rFonts w:ascii="宋体" w:hAnsi="宋体" w:hint="eastAsia"/>
        </w:rPr>
        <w:t>美国能源部，《Strategic Plan》，2011年5月。</w:t>
      </w:r>
    </w:p>
  </w:footnote>
  <w:footnote w:id="21">
    <w:p w:rsidR="00B77118" w:rsidRDefault="00B77118" w:rsidP="00CA619C">
      <w:pPr>
        <w:pStyle w:val="FootnoteText"/>
        <w:spacing w:line="240" w:lineRule="auto"/>
        <w:ind w:firstLineChars="0" w:firstLine="0"/>
        <w:rPr>
          <w:rFonts w:hint="eastAsia"/>
        </w:rPr>
      </w:pPr>
      <w:r>
        <w:rPr>
          <w:rStyle w:val="FootnoteReference"/>
        </w:rPr>
        <w:footnoteRef/>
      </w:r>
      <w:r>
        <w:t xml:space="preserve"> </w:t>
      </w:r>
      <w:r>
        <w:rPr>
          <w:rFonts w:hint="eastAsia"/>
        </w:rPr>
        <w:t>http://</w:t>
      </w:r>
      <w:r>
        <w:t>www.adv-res.com/pdf/Annual-Gas-Shale-Production.pdf</w:t>
      </w:r>
      <w:r>
        <w:rPr>
          <w:rFonts w:hint="eastAsia"/>
        </w:rPr>
        <w:t>.</w:t>
      </w:r>
    </w:p>
  </w:footnote>
  <w:footnote w:id="22">
    <w:p w:rsidR="00B77118" w:rsidRDefault="00B77118" w:rsidP="00CA619C">
      <w:pPr>
        <w:pStyle w:val="FootnoteText"/>
        <w:spacing w:line="240" w:lineRule="auto"/>
        <w:ind w:firstLineChars="0" w:firstLine="0"/>
      </w:pPr>
      <w:r>
        <w:rPr>
          <w:rStyle w:val="FootnoteReference"/>
        </w:rPr>
        <w:footnoteRef/>
      </w:r>
      <w:r>
        <w:t xml:space="preserve"> </w:t>
      </w:r>
      <w:r>
        <w:rPr>
          <w:rFonts w:hint="eastAsia"/>
        </w:rPr>
        <w:t>1980</w:t>
      </w:r>
      <w:r>
        <w:rPr>
          <w:rFonts w:hint="eastAsia"/>
        </w:rPr>
        <w:t>年美国政府出台《原油意外获利法》，该法律的最初目的是要把从常规燃料上征收的税收用于促进非常规燃料的开发，该法律的第</w:t>
      </w:r>
      <w:r>
        <w:rPr>
          <w:rFonts w:hint="eastAsia"/>
        </w:rPr>
        <w:t>29</w:t>
      </w:r>
      <w:r>
        <w:rPr>
          <w:rFonts w:hint="eastAsia"/>
        </w:rPr>
        <w:t>条旨在通过降低可替代能源的生产成本来鼓励其生产和使用，使其在市场上变得具有竞争力。</w:t>
      </w:r>
    </w:p>
  </w:footnote>
  <w:footnote w:id="23">
    <w:p w:rsidR="00B77118" w:rsidRDefault="00B77118" w:rsidP="00CA619C">
      <w:pPr>
        <w:pStyle w:val="FootnoteText"/>
        <w:spacing w:line="240" w:lineRule="auto"/>
        <w:ind w:firstLineChars="0" w:firstLine="0"/>
      </w:pPr>
      <w:r>
        <w:rPr>
          <w:rStyle w:val="FootnoteReference"/>
        </w:rPr>
        <w:footnoteRef/>
      </w:r>
      <w:r>
        <w:t xml:space="preserve"> </w:t>
      </w:r>
      <w:r>
        <w:rPr>
          <w:rFonts w:hint="eastAsia"/>
        </w:rPr>
        <w:t>数据来自世界银行专家</w:t>
      </w:r>
      <w:r>
        <w:rPr>
          <w:rFonts w:hint="eastAsia"/>
        </w:rPr>
        <w:t>Shahid</w:t>
      </w:r>
      <w:r>
        <w:rPr>
          <w:rFonts w:hint="eastAsia"/>
        </w:rPr>
        <w:t>的分析。</w:t>
      </w:r>
    </w:p>
  </w:footnote>
  <w:footnote w:id="24">
    <w:p w:rsidR="00B77118" w:rsidRDefault="00B77118" w:rsidP="00CA619C">
      <w:pPr>
        <w:pStyle w:val="FootnoteText"/>
        <w:spacing w:line="240" w:lineRule="auto"/>
        <w:ind w:firstLineChars="0" w:firstLine="0"/>
        <w:rPr>
          <w:sz w:val="21"/>
          <w:szCs w:val="21"/>
        </w:rPr>
      </w:pPr>
      <w:r>
        <w:rPr>
          <w:rStyle w:val="FootnoteReference"/>
          <w:szCs w:val="21"/>
        </w:rPr>
        <w:footnoteRef/>
      </w:r>
      <w:r>
        <w:rPr>
          <w:sz w:val="21"/>
          <w:szCs w:val="21"/>
        </w:rPr>
        <w:t xml:space="preserve"> </w:t>
      </w:r>
      <w:r>
        <w:rPr>
          <w:rFonts w:hint="eastAsia"/>
          <w:sz w:val="21"/>
          <w:szCs w:val="21"/>
        </w:rPr>
        <w:t>垄断阻碍风电功率预测技术进步，《中国能源报》</w:t>
      </w:r>
      <w:r>
        <w:rPr>
          <w:rFonts w:hint="eastAsia"/>
          <w:sz w:val="21"/>
          <w:szCs w:val="21"/>
        </w:rPr>
        <w:t xml:space="preserve"> (2011-07-04 </w:t>
      </w:r>
      <w:r>
        <w:rPr>
          <w:rFonts w:hint="eastAsia"/>
          <w:sz w:val="21"/>
          <w:szCs w:val="21"/>
        </w:rPr>
        <w:t>第</w:t>
      </w:r>
      <w:r>
        <w:rPr>
          <w:rFonts w:hint="eastAsia"/>
          <w:sz w:val="21"/>
          <w:szCs w:val="21"/>
        </w:rPr>
        <w:t>21</w:t>
      </w:r>
      <w:r>
        <w:rPr>
          <w:rFonts w:hint="eastAsia"/>
          <w:sz w:val="21"/>
          <w:szCs w:val="21"/>
        </w:rPr>
        <w:t>版</w:t>
      </w:r>
      <w:r>
        <w:rPr>
          <w:rFonts w:hint="eastAsia"/>
          <w:sz w:val="21"/>
          <w:szCs w:val="21"/>
        </w:rPr>
        <w:t>)</w:t>
      </w:r>
    </w:p>
  </w:footnote>
  <w:footnote w:id="25">
    <w:p w:rsidR="00B77118" w:rsidRDefault="00B77118" w:rsidP="00CA619C">
      <w:pPr>
        <w:pStyle w:val="FootnoteText"/>
        <w:spacing w:line="240" w:lineRule="auto"/>
        <w:ind w:firstLineChars="0" w:firstLine="0"/>
      </w:pPr>
      <w:r>
        <w:rPr>
          <w:rStyle w:val="FootnoteReference"/>
        </w:rPr>
        <w:footnoteRef/>
      </w:r>
      <w:r>
        <w:t xml:space="preserve"> </w:t>
      </w:r>
      <w:r>
        <w:rPr>
          <w:rFonts w:hint="eastAsia"/>
        </w:rPr>
        <w:t>垄断阻碍风电功率预测技术进步，《中国能源报》</w:t>
      </w:r>
      <w:r>
        <w:rPr>
          <w:rFonts w:hint="eastAsia"/>
        </w:rPr>
        <w:t xml:space="preserve"> (2011-07-04 </w:t>
      </w:r>
      <w:r>
        <w:rPr>
          <w:rFonts w:hint="eastAsia"/>
        </w:rPr>
        <w:t>第</w:t>
      </w:r>
      <w:r>
        <w:rPr>
          <w:rFonts w:hint="eastAsia"/>
        </w:rPr>
        <w:t>21</w:t>
      </w:r>
      <w:r>
        <w:rPr>
          <w:rFonts w:hint="eastAsia"/>
        </w:rPr>
        <w:t>版</w:t>
      </w:r>
      <w:r>
        <w:rPr>
          <w:rFonts w:hint="eastAsia"/>
        </w:rPr>
        <w:t>)</w:t>
      </w:r>
    </w:p>
  </w:footnote>
  <w:footnote w:id="26">
    <w:p w:rsidR="00B77118" w:rsidRDefault="00B77118" w:rsidP="00CA619C">
      <w:pPr>
        <w:pStyle w:val="FootnoteText"/>
        <w:spacing w:line="240" w:lineRule="auto"/>
        <w:ind w:firstLineChars="0" w:firstLine="0"/>
      </w:pPr>
      <w:r>
        <w:rPr>
          <w:rStyle w:val="FootnoteReference"/>
        </w:rPr>
        <w:footnoteRef/>
      </w:r>
      <w:r>
        <w:t xml:space="preserve"> </w:t>
      </w:r>
      <w:r>
        <w:rPr>
          <w:rFonts w:hint="eastAsia"/>
        </w:rPr>
        <w:t xml:space="preserve"> </w:t>
      </w:r>
      <w:r>
        <w:rPr>
          <w:rFonts w:hint="eastAsia"/>
        </w:rPr>
        <w:t>何勇</w:t>
      </w:r>
      <w:r>
        <w:rPr>
          <w:rFonts w:hint="eastAsia"/>
        </w:rPr>
        <w:t xml:space="preserve">. </w:t>
      </w:r>
      <w:r>
        <w:rPr>
          <w:rFonts w:hint="eastAsia"/>
        </w:rPr>
        <w:t>光伏产业产能扩张过快</w:t>
      </w:r>
      <w:r>
        <w:rPr>
          <w:rFonts w:hint="eastAsia"/>
        </w:rPr>
        <w:t xml:space="preserve"> </w:t>
      </w:r>
      <w:r>
        <w:rPr>
          <w:rFonts w:hint="eastAsia"/>
        </w:rPr>
        <w:t>岂能遍地开</w:t>
      </w:r>
      <w:r>
        <w:rPr>
          <w:rFonts w:hint="eastAsia"/>
        </w:rPr>
        <w:t>[N/OL]. [2011-11-09]. http://finance.people.com.cn/GB/16179054.html.</w:t>
      </w:r>
    </w:p>
  </w:footnote>
  <w:footnote w:id="27">
    <w:p w:rsidR="00B77118" w:rsidRDefault="00B77118" w:rsidP="00CA619C">
      <w:pPr>
        <w:pStyle w:val="FootnoteText"/>
        <w:spacing w:line="240" w:lineRule="auto"/>
        <w:ind w:firstLineChars="0" w:firstLine="0"/>
        <w:rPr>
          <w:sz w:val="21"/>
          <w:szCs w:val="21"/>
        </w:rPr>
      </w:pPr>
      <w:r>
        <w:rPr>
          <w:rStyle w:val="FootnoteReference"/>
          <w:szCs w:val="21"/>
        </w:rPr>
        <w:footnoteRef/>
      </w:r>
      <w:r>
        <w:rPr>
          <w:sz w:val="21"/>
          <w:szCs w:val="21"/>
        </w:rPr>
        <w:t xml:space="preserve"> </w:t>
      </w:r>
      <w:r>
        <w:rPr>
          <w:rFonts w:hint="eastAsia"/>
          <w:sz w:val="21"/>
          <w:szCs w:val="21"/>
        </w:rPr>
        <w:t>张永伟，中国的“页岩气革命”靠什么，《中国改革》，</w:t>
      </w:r>
      <w:r>
        <w:rPr>
          <w:rFonts w:hint="eastAsia"/>
          <w:sz w:val="21"/>
          <w:szCs w:val="21"/>
        </w:rPr>
        <w:t>2012(11)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77118" w:rsidRDefault="00B77118">
    <w:pPr>
      <w:pStyle w:val="Header"/>
      <w:ind w:firstLine="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77118" w:rsidRDefault="00B77118">
    <w:pPr>
      <w:pStyle w:val="Header"/>
      <w:ind w:firstLine="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77118" w:rsidRDefault="00B77118">
    <w:pPr>
      <w:pStyle w:val="Header"/>
      <w:ind w:firstLine="36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77118" w:rsidRDefault="00B77118">
    <w:pPr>
      <w:pStyle w:val="Header"/>
      <w:ind w:firstLine="36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77118" w:rsidRDefault="00B77118">
    <w:pPr>
      <w:ind w:firstLine="480"/>
    </w:pPr>
    <w:r>
      <w:rPr>
        <w:rFonts w:hint="eastAsia"/>
      </w:rPr>
      <w:t xml:space="preserve">                </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77118" w:rsidRDefault="00B77118">
    <w:pPr>
      <w:pStyle w:val="Header"/>
      <w:ind w:firstLine="360"/>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B77118" w:rsidRDefault="00B77118">
    <w:pPr>
      <w:pStyle w:val="Header"/>
      <w:ind w:firstLine="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A175F"/>
    <w:multiLevelType w:val="multilevel"/>
    <w:tmpl w:val="028A175F"/>
    <w:lvl w:ilvl="0">
      <w:start w:val="1"/>
      <w:numFmt w:val="decimal"/>
      <w:lvlText w:val="（%1）"/>
      <w:lvlJc w:val="left"/>
      <w:pPr>
        <w:tabs>
          <w:tab w:val="num" w:pos="1202"/>
        </w:tabs>
        <w:ind w:left="1202" w:hanging="720"/>
      </w:pPr>
      <w:rPr>
        <w:rFonts w:hint="default"/>
      </w:rPr>
    </w:lvl>
    <w:lvl w:ilvl="1">
      <w:start w:val="1"/>
      <w:numFmt w:val="lowerLetter"/>
      <w:lvlText w:val="%2)"/>
      <w:lvlJc w:val="left"/>
      <w:pPr>
        <w:tabs>
          <w:tab w:val="num" w:pos="1322"/>
        </w:tabs>
        <w:ind w:left="1322" w:hanging="420"/>
      </w:pPr>
    </w:lvl>
    <w:lvl w:ilvl="2">
      <w:start w:val="1"/>
      <w:numFmt w:val="lowerRoman"/>
      <w:lvlText w:val="%3."/>
      <w:lvlJc w:val="right"/>
      <w:pPr>
        <w:tabs>
          <w:tab w:val="num" w:pos="1742"/>
        </w:tabs>
        <w:ind w:left="1742" w:hanging="420"/>
      </w:pPr>
    </w:lvl>
    <w:lvl w:ilvl="3">
      <w:start w:val="1"/>
      <w:numFmt w:val="decimal"/>
      <w:lvlText w:val="%4."/>
      <w:lvlJc w:val="left"/>
      <w:pPr>
        <w:tabs>
          <w:tab w:val="num" w:pos="2162"/>
        </w:tabs>
        <w:ind w:left="2162" w:hanging="420"/>
      </w:pPr>
    </w:lvl>
    <w:lvl w:ilvl="4">
      <w:start w:val="1"/>
      <w:numFmt w:val="lowerLetter"/>
      <w:lvlText w:val="%5)"/>
      <w:lvlJc w:val="left"/>
      <w:pPr>
        <w:tabs>
          <w:tab w:val="num" w:pos="2582"/>
        </w:tabs>
        <w:ind w:left="2582" w:hanging="420"/>
      </w:pPr>
    </w:lvl>
    <w:lvl w:ilvl="5">
      <w:start w:val="1"/>
      <w:numFmt w:val="lowerRoman"/>
      <w:lvlText w:val="%6."/>
      <w:lvlJc w:val="right"/>
      <w:pPr>
        <w:tabs>
          <w:tab w:val="num" w:pos="3002"/>
        </w:tabs>
        <w:ind w:left="3002" w:hanging="420"/>
      </w:pPr>
    </w:lvl>
    <w:lvl w:ilvl="6">
      <w:start w:val="1"/>
      <w:numFmt w:val="decimal"/>
      <w:lvlText w:val="%7."/>
      <w:lvlJc w:val="left"/>
      <w:pPr>
        <w:tabs>
          <w:tab w:val="num" w:pos="3422"/>
        </w:tabs>
        <w:ind w:left="3422" w:hanging="420"/>
      </w:pPr>
    </w:lvl>
    <w:lvl w:ilvl="7">
      <w:start w:val="1"/>
      <w:numFmt w:val="lowerLetter"/>
      <w:lvlText w:val="%8)"/>
      <w:lvlJc w:val="left"/>
      <w:pPr>
        <w:tabs>
          <w:tab w:val="num" w:pos="3842"/>
        </w:tabs>
        <w:ind w:left="3842" w:hanging="420"/>
      </w:pPr>
    </w:lvl>
    <w:lvl w:ilvl="8">
      <w:start w:val="1"/>
      <w:numFmt w:val="lowerRoman"/>
      <w:lvlText w:val="%9."/>
      <w:lvlJc w:val="right"/>
      <w:pPr>
        <w:tabs>
          <w:tab w:val="num" w:pos="4262"/>
        </w:tabs>
        <w:ind w:left="4262" w:hanging="420"/>
      </w:pPr>
    </w:lvl>
  </w:abstractNum>
  <w:abstractNum w:abstractNumId="1">
    <w:nsid w:val="09064F58"/>
    <w:multiLevelType w:val="multilevel"/>
    <w:tmpl w:val="09064F58"/>
    <w:lvl w:ilvl="0">
      <w:start w:val="1"/>
      <w:numFmt w:val="decimal"/>
      <w:lvlText w:val="（%1）"/>
      <w:lvlJc w:val="left"/>
      <w:pPr>
        <w:tabs>
          <w:tab w:val="num" w:pos="1202"/>
        </w:tabs>
        <w:ind w:left="1202" w:hanging="720"/>
      </w:pPr>
      <w:rPr>
        <w:rFonts w:hint="default"/>
      </w:rPr>
    </w:lvl>
    <w:lvl w:ilvl="1">
      <w:start w:val="1"/>
      <w:numFmt w:val="lowerLetter"/>
      <w:lvlText w:val="%2)"/>
      <w:lvlJc w:val="left"/>
      <w:pPr>
        <w:tabs>
          <w:tab w:val="num" w:pos="1322"/>
        </w:tabs>
        <w:ind w:left="1322" w:hanging="420"/>
      </w:pPr>
    </w:lvl>
    <w:lvl w:ilvl="2">
      <w:start w:val="1"/>
      <w:numFmt w:val="lowerRoman"/>
      <w:lvlText w:val="%3."/>
      <w:lvlJc w:val="right"/>
      <w:pPr>
        <w:tabs>
          <w:tab w:val="num" w:pos="1742"/>
        </w:tabs>
        <w:ind w:left="1742" w:hanging="420"/>
      </w:pPr>
    </w:lvl>
    <w:lvl w:ilvl="3">
      <w:start w:val="1"/>
      <w:numFmt w:val="decimal"/>
      <w:lvlText w:val="%4."/>
      <w:lvlJc w:val="left"/>
      <w:pPr>
        <w:tabs>
          <w:tab w:val="num" w:pos="2162"/>
        </w:tabs>
        <w:ind w:left="2162" w:hanging="420"/>
      </w:pPr>
    </w:lvl>
    <w:lvl w:ilvl="4">
      <w:start w:val="1"/>
      <w:numFmt w:val="lowerLetter"/>
      <w:lvlText w:val="%5)"/>
      <w:lvlJc w:val="left"/>
      <w:pPr>
        <w:tabs>
          <w:tab w:val="num" w:pos="2582"/>
        </w:tabs>
        <w:ind w:left="2582" w:hanging="420"/>
      </w:pPr>
    </w:lvl>
    <w:lvl w:ilvl="5">
      <w:start w:val="1"/>
      <w:numFmt w:val="lowerRoman"/>
      <w:lvlText w:val="%6."/>
      <w:lvlJc w:val="right"/>
      <w:pPr>
        <w:tabs>
          <w:tab w:val="num" w:pos="3002"/>
        </w:tabs>
        <w:ind w:left="3002" w:hanging="420"/>
      </w:pPr>
    </w:lvl>
    <w:lvl w:ilvl="6">
      <w:start w:val="1"/>
      <w:numFmt w:val="decimal"/>
      <w:lvlText w:val="%7."/>
      <w:lvlJc w:val="left"/>
      <w:pPr>
        <w:tabs>
          <w:tab w:val="num" w:pos="3422"/>
        </w:tabs>
        <w:ind w:left="3422" w:hanging="420"/>
      </w:pPr>
    </w:lvl>
    <w:lvl w:ilvl="7">
      <w:start w:val="1"/>
      <w:numFmt w:val="lowerLetter"/>
      <w:lvlText w:val="%8)"/>
      <w:lvlJc w:val="left"/>
      <w:pPr>
        <w:tabs>
          <w:tab w:val="num" w:pos="3842"/>
        </w:tabs>
        <w:ind w:left="3842" w:hanging="420"/>
      </w:pPr>
    </w:lvl>
    <w:lvl w:ilvl="8">
      <w:start w:val="1"/>
      <w:numFmt w:val="lowerRoman"/>
      <w:lvlText w:val="%9."/>
      <w:lvlJc w:val="right"/>
      <w:pPr>
        <w:tabs>
          <w:tab w:val="num" w:pos="4262"/>
        </w:tabs>
        <w:ind w:left="4262" w:hanging="420"/>
      </w:pPr>
    </w:lvl>
  </w:abstractNum>
  <w:abstractNum w:abstractNumId="2">
    <w:nsid w:val="414D633E"/>
    <w:multiLevelType w:val="multilevel"/>
    <w:tmpl w:val="414D633E"/>
    <w:lvl w:ilvl="0">
      <w:start w:val="1"/>
      <w:numFmt w:val="decimal"/>
      <w:lvlText w:val="（%1）"/>
      <w:lvlJc w:val="left"/>
      <w:pPr>
        <w:tabs>
          <w:tab w:val="num" w:pos="1080"/>
        </w:tabs>
        <w:ind w:left="1080" w:hanging="720"/>
      </w:pPr>
      <w:rPr>
        <w:rFonts w:hint="default"/>
      </w:rPr>
    </w:lvl>
    <w:lvl w:ilvl="1">
      <w:start w:val="1"/>
      <w:numFmt w:val="decimal"/>
      <w:lvlText w:val="（%2）"/>
      <w:lvlJc w:val="left"/>
      <w:pPr>
        <w:tabs>
          <w:tab w:val="num" w:pos="1500"/>
        </w:tabs>
        <w:ind w:left="1500" w:hanging="720"/>
      </w:pPr>
      <w:rPr>
        <w:rFonts w:hint="default"/>
      </w:r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3">
    <w:nsid w:val="4EFF5975"/>
    <w:multiLevelType w:val="multilevel"/>
    <w:tmpl w:val="4EFF5975"/>
    <w:lvl w:ilvl="0">
      <w:start w:val="1"/>
      <w:numFmt w:val="decimal"/>
      <w:lvlText w:val="（%1）"/>
      <w:lvlJc w:val="left"/>
      <w:pPr>
        <w:tabs>
          <w:tab w:val="num" w:pos="1202"/>
        </w:tabs>
        <w:ind w:left="1202" w:hanging="720"/>
      </w:pPr>
      <w:rPr>
        <w:rFonts w:hint="default"/>
      </w:rPr>
    </w:lvl>
    <w:lvl w:ilvl="1">
      <w:start w:val="1"/>
      <w:numFmt w:val="lowerLetter"/>
      <w:lvlText w:val="%2)"/>
      <w:lvlJc w:val="left"/>
      <w:pPr>
        <w:tabs>
          <w:tab w:val="num" w:pos="1322"/>
        </w:tabs>
        <w:ind w:left="1322" w:hanging="420"/>
      </w:pPr>
    </w:lvl>
    <w:lvl w:ilvl="2">
      <w:start w:val="1"/>
      <w:numFmt w:val="lowerRoman"/>
      <w:lvlText w:val="%3."/>
      <w:lvlJc w:val="right"/>
      <w:pPr>
        <w:tabs>
          <w:tab w:val="num" w:pos="1742"/>
        </w:tabs>
        <w:ind w:left="1742" w:hanging="420"/>
      </w:pPr>
    </w:lvl>
    <w:lvl w:ilvl="3">
      <w:start w:val="1"/>
      <w:numFmt w:val="decimal"/>
      <w:lvlText w:val="%4."/>
      <w:lvlJc w:val="left"/>
      <w:pPr>
        <w:tabs>
          <w:tab w:val="num" w:pos="2162"/>
        </w:tabs>
        <w:ind w:left="2162" w:hanging="420"/>
      </w:pPr>
    </w:lvl>
    <w:lvl w:ilvl="4">
      <w:start w:val="1"/>
      <w:numFmt w:val="lowerLetter"/>
      <w:lvlText w:val="%5)"/>
      <w:lvlJc w:val="left"/>
      <w:pPr>
        <w:tabs>
          <w:tab w:val="num" w:pos="2582"/>
        </w:tabs>
        <w:ind w:left="2582" w:hanging="420"/>
      </w:pPr>
    </w:lvl>
    <w:lvl w:ilvl="5">
      <w:start w:val="1"/>
      <w:numFmt w:val="lowerRoman"/>
      <w:lvlText w:val="%6."/>
      <w:lvlJc w:val="right"/>
      <w:pPr>
        <w:tabs>
          <w:tab w:val="num" w:pos="3002"/>
        </w:tabs>
        <w:ind w:left="3002" w:hanging="420"/>
      </w:pPr>
    </w:lvl>
    <w:lvl w:ilvl="6">
      <w:start w:val="1"/>
      <w:numFmt w:val="decimal"/>
      <w:lvlText w:val="%7."/>
      <w:lvlJc w:val="left"/>
      <w:pPr>
        <w:tabs>
          <w:tab w:val="num" w:pos="3422"/>
        </w:tabs>
        <w:ind w:left="3422" w:hanging="420"/>
      </w:pPr>
    </w:lvl>
    <w:lvl w:ilvl="7">
      <w:start w:val="1"/>
      <w:numFmt w:val="lowerLetter"/>
      <w:lvlText w:val="%8)"/>
      <w:lvlJc w:val="left"/>
      <w:pPr>
        <w:tabs>
          <w:tab w:val="num" w:pos="3842"/>
        </w:tabs>
        <w:ind w:left="3842" w:hanging="420"/>
      </w:pPr>
    </w:lvl>
    <w:lvl w:ilvl="8">
      <w:start w:val="1"/>
      <w:numFmt w:val="lowerRoman"/>
      <w:lvlText w:val="%9."/>
      <w:lvlJc w:val="right"/>
      <w:pPr>
        <w:tabs>
          <w:tab w:val="num" w:pos="4262"/>
        </w:tabs>
        <w:ind w:left="4262" w:hanging="420"/>
      </w:pPr>
    </w:lvl>
  </w:abstractNum>
  <w:abstractNum w:abstractNumId="4">
    <w:nsid w:val="5252781B"/>
    <w:multiLevelType w:val="multilevel"/>
    <w:tmpl w:val="5252781B"/>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5"/>
        </w:tabs>
        <w:ind w:left="575" w:hanging="5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3"/>
        </w:tabs>
        <w:ind w:left="1583" w:hanging="1583"/>
      </w:pPr>
      <w:rPr>
        <w:rFonts w:hint="default"/>
      </w:rPr>
    </w:lvl>
  </w:abstractNum>
  <w:abstractNum w:abstractNumId="5">
    <w:nsid w:val="532EFFD8"/>
    <w:multiLevelType w:val="multilevel"/>
    <w:tmpl w:val="532EFFD8"/>
    <w:lvl w:ilvl="0">
      <w:start w:val="1"/>
      <w:numFmt w:val="decimal"/>
      <w:lvlText w:val="表%1"/>
      <w:lvlJc w:val="center"/>
      <w:pPr>
        <w:tabs>
          <w:tab w:val="num" w:pos="0"/>
        </w:tabs>
        <w:ind w:left="0" w:firstLine="0"/>
      </w:pPr>
      <w:rPr>
        <w:rFonts w:hint="default"/>
        <w:lang w:val="en-US"/>
      </w:rPr>
    </w:lvl>
    <w:lvl w:ilvl="1">
      <w:start w:val="1"/>
      <w:numFmt w:val="lowerLetter"/>
      <w:lvlText w:val="%2)"/>
      <w:lvlJc w:val="left"/>
      <w:pPr>
        <w:tabs>
          <w:tab w:val="num" w:pos="420"/>
        </w:tabs>
        <w:ind w:left="840" w:hanging="420"/>
      </w:pPr>
    </w:lvl>
    <w:lvl w:ilvl="2">
      <w:start w:val="1"/>
      <w:numFmt w:val="lowerRoman"/>
      <w:lvlText w:val="%3."/>
      <w:lvlJc w:val="right"/>
      <w:pPr>
        <w:tabs>
          <w:tab w:val="num" w:pos="840"/>
        </w:tabs>
        <w:ind w:left="1260" w:hanging="420"/>
      </w:pPr>
    </w:lvl>
    <w:lvl w:ilvl="3">
      <w:start w:val="1"/>
      <w:numFmt w:val="decimal"/>
      <w:lvlText w:val="%4."/>
      <w:lvlJc w:val="left"/>
      <w:pPr>
        <w:tabs>
          <w:tab w:val="num" w:pos="1260"/>
        </w:tabs>
        <w:ind w:left="1680" w:hanging="420"/>
      </w:pPr>
    </w:lvl>
    <w:lvl w:ilvl="4">
      <w:start w:val="1"/>
      <w:numFmt w:val="lowerLetter"/>
      <w:lvlText w:val="%5)"/>
      <w:lvlJc w:val="left"/>
      <w:pPr>
        <w:tabs>
          <w:tab w:val="num" w:pos="1680"/>
        </w:tabs>
        <w:ind w:left="2100" w:hanging="420"/>
      </w:pPr>
    </w:lvl>
    <w:lvl w:ilvl="5">
      <w:start w:val="1"/>
      <w:numFmt w:val="lowerRoman"/>
      <w:lvlText w:val="%6."/>
      <w:lvlJc w:val="right"/>
      <w:pPr>
        <w:tabs>
          <w:tab w:val="num" w:pos="2100"/>
        </w:tabs>
        <w:ind w:left="2520" w:hanging="420"/>
      </w:pPr>
    </w:lvl>
    <w:lvl w:ilvl="6">
      <w:start w:val="1"/>
      <w:numFmt w:val="decimal"/>
      <w:lvlText w:val="%7."/>
      <w:lvlJc w:val="left"/>
      <w:pPr>
        <w:tabs>
          <w:tab w:val="num" w:pos="2520"/>
        </w:tabs>
        <w:ind w:left="2940" w:hanging="420"/>
      </w:pPr>
    </w:lvl>
    <w:lvl w:ilvl="7">
      <w:start w:val="1"/>
      <w:numFmt w:val="lowerLetter"/>
      <w:lvlText w:val="%8)"/>
      <w:lvlJc w:val="left"/>
      <w:pPr>
        <w:tabs>
          <w:tab w:val="num" w:pos="2940"/>
        </w:tabs>
        <w:ind w:left="3360" w:hanging="420"/>
      </w:pPr>
    </w:lvl>
    <w:lvl w:ilvl="8">
      <w:start w:val="1"/>
      <w:numFmt w:val="lowerRoman"/>
      <w:lvlText w:val="%9."/>
      <w:lvlJc w:val="right"/>
      <w:pPr>
        <w:tabs>
          <w:tab w:val="num" w:pos="3360"/>
        </w:tabs>
        <w:ind w:left="3780" w:hanging="420"/>
      </w:pPr>
    </w:lvl>
  </w:abstractNum>
  <w:abstractNum w:abstractNumId="6">
    <w:nsid w:val="532F0022"/>
    <w:multiLevelType w:val="multilevel"/>
    <w:tmpl w:val="532F0022"/>
    <w:lvl w:ilvl="0">
      <w:start w:val="1"/>
      <w:numFmt w:val="decimal"/>
      <w:pStyle w:val="TableofFigures"/>
      <w:lvlText w:val="图%1."/>
      <w:lvlJc w:val="left"/>
      <w:pPr>
        <w:tabs>
          <w:tab w:val="num" w:pos="425"/>
        </w:tabs>
        <w:ind w:left="425" w:hanging="425"/>
      </w:pPr>
      <w:rPr>
        <w:rFonts w:ascii="宋体" w:eastAsia="宋体" w:hAnsi="宋体" w:cs="宋体" w:hint="default"/>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nsid w:val="53B59AFD"/>
    <w:multiLevelType w:val="multilevel"/>
    <w:tmpl w:val="53B59AFD"/>
    <w:lvl w:ilvl="0">
      <w:start w:val="1"/>
      <w:numFmt w:val="decimal"/>
      <w:isLgl/>
      <w:lvlText w:val="图%1."/>
      <w:lvlJc w:val="left"/>
      <w:pPr>
        <w:tabs>
          <w:tab w:val="num" w:pos="425"/>
        </w:tabs>
        <w:ind w:left="425" w:hanging="425"/>
      </w:pPr>
      <w:rPr>
        <w:rFonts w:ascii="宋体" w:eastAsia="宋体" w:hAnsi="宋体" w:cs="宋体" w:hint="default"/>
      </w:rPr>
    </w:lvl>
    <w:lvl w:ilvl="1">
      <w:start w:val="1"/>
      <w:numFmt w:val="decimal"/>
      <w:lvlText w:val="%1.%2."/>
      <w:lvlJc w:val="left"/>
      <w:pPr>
        <w:tabs>
          <w:tab w:val="num" w:pos="567"/>
        </w:tabs>
        <w:ind w:left="567" w:hanging="567"/>
      </w:pPr>
      <w:rPr>
        <w:rFonts w:ascii="宋体" w:eastAsia="宋体" w:hAnsi="宋体" w:cs="宋体" w:hint="default"/>
      </w:rPr>
    </w:lvl>
    <w:lvl w:ilvl="2">
      <w:start w:val="1"/>
      <w:numFmt w:val="decimal"/>
      <w:lvlText w:val="%1.%2.%3."/>
      <w:lvlJc w:val="left"/>
      <w:pPr>
        <w:tabs>
          <w:tab w:val="num" w:pos="709"/>
        </w:tabs>
        <w:ind w:left="709" w:hanging="709"/>
      </w:pPr>
      <w:rPr>
        <w:rFonts w:ascii="宋体" w:eastAsia="宋体" w:hAnsi="宋体" w:cs="宋体" w:hint="default"/>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nsid w:val="53B6411F"/>
    <w:multiLevelType w:val="multilevel"/>
    <w:tmpl w:val="53B6411F"/>
    <w:lvl w:ilvl="0">
      <w:start w:val="1"/>
      <w:numFmt w:val="decimal"/>
      <w:isLgl/>
      <w:lvlText w:val="表%1."/>
      <w:lvlJc w:val="center"/>
      <w:pPr>
        <w:tabs>
          <w:tab w:val="num" w:pos="0"/>
        </w:tabs>
        <w:ind w:left="0" w:firstLine="0"/>
      </w:pPr>
      <w:rPr>
        <w:rFonts w:ascii="宋体" w:eastAsia="宋体" w:hAnsi="宋体" w:cs="宋体" w:hint="default"/>
        <w:lang w:val="en-US"/>
      </w:rPr>
    </w:lvl>
    <w:lvl w:ilvl="1">
      <w:start w:val="1"/>
      <w:numFmt w:val="lowerLetter"/>
      <w:lvlText w:val="%2)"/>
      <w:lvlJc w:val="left"/>
      <w:pPr>
        <w:tabs>
          <w:tab w:val="num" w:pos="420"/>
        </w:tabs>
        <w:ind w:left="840" w:hanging="420"/>
      </w:pPr>
    </w:lvl>
    <w:lvl w:ilvl="2">
      <w:start w:val="1"/>
      <w:numFmt w:val="lowerRoman"/>
      <w:lvlText w:val="%3."/>
      <w:lvlJc w:val="right"/>
      <w:pPr>
        <w:tabs>
          <w:tab w:val="num" w:pos="840"/>
        </w:tabs>
        <w:ind w:left="1260" w:hanging="420"/>
      </w:pPr>
    </w:lvl>
    <w:lvl w:ilvl="3">
      <w:start w:val="1"/>
      <w:numFmt w:val="decimal"/>
      <w:lvlText w:val="%4."/>
      <w:lvlJc w:val="left"/>
      <w:pPr>
        <w:tabs>
          <w:tab w:val="num" w:pos="1260"/>
        </w:tabs>
        <w:ind w:left="1680" w:hanging="420"/>
      </w:pPr>
    </w:lvl>
    <w:lvl w:ilvl="4">
      <w:start w:val="1"/>
      <w:numFmt w:val="lowerLetter"/>
      <w:lvlText w:val="%5)"/>
      <w:lvlJc w:val="left"/>
      <w:pPr>
        <w:tabs>
          <w:tab w:val="num" w:pos="1680"/>
        </w:tabs>
        <w:ind w:left="2100" w:hanging="420"/>
      </w:pPr>
    </w:lvl>
    <w:lvl w:ilvl="5">
      <w:start w:val="1"/>
      <w:numFmt w:val="lowerRoman"/>
      <w:lvlText w:val="%6."/>
      <w:lvlJc w:val="right"/>
      <w:pPr>
        <w:tabs>
          <w:tab w:val="num" w:pos="2100"/>
        </w:tabs>
        <w:ind w:left="2520" w:hanging="420"/>
      </w:pPr>
    </w:lvl>
    <w:lvl w:ilvl="6">
      <w:start w:val="1"/>
      <w:numFmt w:val="decimal"/>
      <w:lvlText w:val="%7."/>
      <w:lvlJc w:val="left"/>
      <w:pPr>
        <w:tabs>
          <w:tab w:val="num" w:pos="2520"/>
        </w:tabs>
        <w:ind w:left="2940" w:hanging="420"/>
      </w:pPr>
    </w:lvl>
    <w:lvl w:ilvl="7">
      <w:start w:val="1"/>
      <w:numFmt w:val="lowerLetter"/>
      <w:lvlText w:val="%8)"/>
      <w:lvlJc w:val="left"/>
      <w:pPr>
        <w:tabs>
          <w:tab w:val="num" w:pos="2940"/>
        </w:tabs>
        <w:ind w:left="3360" w:hanging="420"/>
      </w:pPr>
    </w:lvl>
    <w:lvl w:ilvl="8">
      <w:start w:val="1"/>
      <w:numFmt w:val="lowerRoman"/>
      <w:lvlText w:val="%9."/>
      <w:lvlJc w:val="right"/>
      <w:pPr>
        <w:tabs>
          <w:tab w:val="num" w:pos="3360"/>
        </w:tabs>
        <w:ind w:left="3780" w:hanging="420"/>
      </w:pPr>
    </w:lvl>
  </w:abstractNum>
  <w:abstractNum w:abstractNumId="9">
    <w:nsid w:val="54F86629"/>
    <w:multiLevelType w:val="multilevel"/>
    <w:tmpl w:val="54F86629"/>
    <w:lvl w:ilvl="0">
      <w:start w:val="1"/>
      <w:numFmt w:val="decimal"/>
      <w:lvlText w:val="（%1）"/>
      <w:lvlJc w:val="left"/>
      <w:pPr>
        <w:tabs>
          <w:tab w:val="num" w:pos="1202"/>
        </w:tabs>
        <w:ind w:left="1202" w:hanging="720"/>
      </w:pPr>
      <w:rPr>
        <w:rFonts w:hint="default"/>
      </w:rPr>
    </w:lvl>
    <w:lvl w:ilvl="1">
      <w:start w:val="1"/>
      <w:numFmt w:val="lowerLetter"/>
      <w:lvlText w:val="%2)"/>
      <w:lvlJc w:val="left"/>
      <w:pPr>
        <w:tabs>
          <w:tab w:val="num" w:pos="1322"/>
        </w:tabs>
        <w:ind w:left="1322" w:hanging="420"/>
      </w:pPr>
    </w:lvl>
    <w:lvl w:ilvl="2">
      <w:start w:val="1"/>
      <w:numFmt w:val="lowerRoman"/>
      <w:lvlText w:val="%3."/>
      <w:lvlJc w:val="right"/>
      <w:pPr>
        <w:tabs>
          <w:tab w:val="num" w:pos="1742"/>
        </w:tabs>
        <w:ind w:left="1742" w:hanging="420"/>
      </w:pPr>
    </w:lvl>
    <w:lvl w:ilvl="3">
      <w:start w:val="1"/>
      <w:numFmt w:val="decimal"/>
      <w:lvlText w:val="%4."/>
      <w:lvlJc w:val="left"/>
      <w:pPr>
        <w:tabs>
          <w:tab w:val="num" w:pos="2162"/>
        </w:tabs>
        <w:ind w:left="2162" w:hanging="420"/>
      </w:pPr>
    </w:lvl>
    <w:lvl w:ilvl="4">
      <w:start w:val="1"/>
      <w:numFmt w:val="lowerLetter"/>
      <w:lvlText w:val="%5)"/>
      <w:lvlJc w:val="left"/>
      <w:pPr>
        <w:tabs>
          <w:tab w:val="num" w:pos="2582"/>
        </w:tabs>
        <w:ind w:left="2582" w:hanging="420"/>
      </w:pPr>
    </w:lvl>
    <w:lvl w:ilvl="5">
      <w:start w:val="1"/>
      <w:numFmt w:val="lowerRoman"/>
      <w:lvlText w:val="%6."/>
      <w:lvlJc w:val="right"/>
      <w:pPr>
        <w:tabs>
          <w:tab w:val="num" w:pos="3002"/>
        </w:tabs>
        <w:ind w:left="3002" w:hanging="420"/>
      </w:pPr>
    </w:lvl>
    <w:lvl w:ilvl="6">
      <w:start w:val="1"/>
      <w:numFmt w:val="decimal"/>
      <w:lvlText w:val="%7."/>
      <w:lvlJc w:val="left"/>
      <w:pPr>
        <w:tabs>
          <w:tab w:val="num" w:pos="3422"/>
        </w:tabs>
        <w:ind w:left="3422" w:hanging="420"/>
      </w:pPr>
    </w:lvl>
    <w:lvl w:ilvl="7">
      <w:start w:val="1"/>
      <w:numFmt w:val="lowerLetter"/>
      <w:lvlText w:val="%8)"/>
      <w:lvlJc w:val="left"/>
      <w:pPr>
        <w:tabs>
          <w:tab w:val="num" w:pos="3842"/>
        </w:tabs>
        <w:ind w:left="3842" w:hanging="420"/>
      </w:pPr>
    </w:lvl>
    <w:lvl w:ilvl="8">
      <w:start w:val="1"/>
      <w:numFmt w:val="lowerRoman"/>
      <w:lvlText w:val="%9."/>
      <w:lvlJc w:val="right"/>
      <w:pPr>
        <w:tabs>
          <w:tab w:val="num" w:pos="4262"/>
        </w:tabs>
        <w:ind w:left="4262" w:hanging="420"/>
      </w:pPr>
    </w:lvl>
  </w:abstractNum>
  <w:abstractNum w:abstractNumId="10">
    <w:nsid w:val="57691D50"/>
    <w:multiLevelType w:val="multilevel"/>
    <w:tmpl w:val="57691D50"/>
    <w:lvl w:ilvl="0">
      <w:start w:val="1"/>
      <w:numFmt w:val="bullet"/>
      <w:lvlText w:val=""/>
      <w:lvlJc w:val="left"/>
      <w:pPr>
        <w:tabs>
          <w:tab w:val="num" w:pos="774"/>
        </w:tabs>
        <w:ind w:left="774" w:hanging="420"/>
      </w:pPr>
      <w:rPr>
        <w:rFonts w:ascii="Wingdings" w:hAnsi="Wingdings" w:hint="default"/>
      </w:rPr>
    </w:lvl>
    <w:lvl w:ilvl="1">
      <w:start w:val="1"/>
      <w:numFmt w:val="bullet"/>
      <w:lvlText w:val=""/>
      <w:lvlJc w:val="left"/>
      <w:pPr>
        <w:tabs>
          <w:tab w:val="num" w:pos="1194"/>
        </w:tabs>
        <w:ind w:left="1194" w:hanging="420"/>
      </w:pPr>
      <w:rPr>
        <w:rFonts w:ascii="Wingdings" w:hAnsi="Wingdings" w:hint="default"/>
      </w:rPr>
    </w:lvl>
    <w:lvl w:ilvl="2">
      <w:start w:val="1"/>
      <w:numFmt w:val="bullet"/>
      <w:lvlText w:val=""/>
      <w:lvlJc w:val="left"/>
      <w:pPr>
        <w:tabs>
          <w:tab w:val="num" w:pos="1614"/>
        </w:tabs>
        <w:ind w:left="1614" w:hanging="420"/>
      </w:pPr>
      <w:rPr>
        <w:rFonts w:ascii="Wingdings" w:hAnsi="Wingdings" w:hint="default"/>
      </w:rPr>
    </w:lvl>
    <w:lvl w:ilvl="3">
      <w:start w:val="1"/>
      <w:numFmt w:val="bullet"/>
      <w:lvlText w:val=""/>
      <w:lvlJc w:val="left"/>
      <w:pPr>
        <w:tabs>
          <w:tab w:val="num" w:pos="2034"/>
        </w:tabs>
        <w:ind w:left="2034" w:hanging="420"/>
      </w:pPr>
      <w:rPr>
        <w:rFonts w:ascii="Wingdings" w:hAnsi="Wingdings" w:hint="default"/>
      </w:rPr>
    </w:lvl>
    <w:lvl w:ilvl="4">
      <w:start w:val="1"/>
      <w:numFmt w:val="bullet"/>
      <w:lvlText w:val=""/>
      <w:lvlJc w:val="left"/>
      <w:pPr>
        <w:tabs>
          <w:tab w:val="num" w:pos="2454"/>
        </w:tabs>
        <w:ind w:left="2454" w:hanging="420"/>
      </w:pPr>
      <w:rPr>
        <w:rFonts w:ascii="Wingdings" w:hAnsi="Wingdings" w:hint="default"/>
      </w:rPr>
    </w:lvl>
    <w:lvl w:ilvl="5">
      <w:start w:val="1"/>
      <w:numFmt w:val="bullet"/>
      <w:lvlText w:val=""/>
      <w:lvlJc w:val="left"/>
      <w:pPr>
        <w:tabs>
          <w:tab w:val="num" w:pos="2874"/>
        </w:tabs>
        <w:ind w:left="2874" w:hanging="420"/>
      </w:pPr>
      <w:rPr>
        <w:rFonts w:ascii="Wingdings" w:hAnsi="Wingdings" w:hint="default"/>
      </w:rPr>
    </w:lvl>
    <w:lvl w:ilvl="6">
      <w:start w:val="1"/>
      <w:numFmt w:val="bullet"/>
      <w:lvlText w:val=""/>
      <w:lvlJc w:val="left"/>
      <w:pPr>
        <w:tabs>
          <w:tab w:val="num" w:pos="3294"/>
        </w:tabs>
        <w:ind w:left="3294" w:hanging="420"/>
      </w:pPr>
      <w:rPr>
        <w:rFonts w:ascii="Wingdings" w:hAnsi="Wingdings" w:hint="default"/>
      </w:rPr>
    </w:lvl>
    <w:lvl w:ilvl="7">
      <w:start w:val="1"/>
      <w:numFmt w:val="bullet"/>
      <w:lvlText w:val=""/>
      <w:lvlJc w:val="left"/>
      <w:pPr>
        <w:tabs>
          <w:tab w:val="num" w:pos="3714"/>
        </w:tabs>
        <w:ind w:left="3714" w:hanging="420"/>
      </w:pPr>
      <w:rPr>
        <w:rFonts w:ascii="Wingdings" w:hAnsi="Wingdings" w:hint="default"/>
      </w:rPr>
    </w:lvl>
    <w:lvl w:ilvl="8">
      <w:start w:val="1"/>
      <w:numFmt w:val="bullet"/>
      <w:lvlText w:val=""/>
      <w:lvlJc w:val="left"/>
      <w:pPr>
        <w:tabs>
          <w:tab w:val="num" w:pos="4134"/>
        </w:tabs>
        <w:ind w:left="4134" w:hanging="420"/>
      </w:pPr>
      <w:rPr>
        <w:rFonts w:ascii="Wingdings" w:hAnsi="Wingdings" w:hint="default"/>
      </w:rPr>
    </w:lvl>
  </w:abstractNum>
  <w:num w:numId="1">
    <w:abstractNumId w:val="4"/>
  </w:num>
  <w:num w:numId="2">
    <w:abstractNumId w:val="8"/>
  </w:num>
  <w:num w:numId="3">
    <w:abstractNumId w:val="7"/>
  </w:num>
  <w:num w:numId="4">
    <w:abstractNumId w:val="2"/>
  </w:num>
  <w:num w:numId="5">
    <w:abstractNumId w:val="3"/>
  </w:num>
  <w:num w:numId="6">
    <w:abstractNumId w:val="10"/>
  </w:num>
  <w:num w:numId="7">
    <w:abstractNumId w:val="9"/>
  </w:num>
  <w:num w:numId="8">
    <w:abstractNumId w:val="1"/>
  </w:num>
  <w:num w:numId="9">
    <w:abstractNumId w:val="0"/>
  </w:num>
  <w:num w:numId="10">
    <w:abstractNumId w:val="5"/>
  </w:num>
  <w:num w:numId="11">
    <w:abstractNumId w:val="6"/>
  </w:num>
  <w:num w:numId="12">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defaultTabStop w:val="720"/>
  <w:characterSpacingControl w:val="doNotCompress"/>
  <w:savePreviewPicture/>
  <w:hdrShapeDefaults>
    <o:shapedefaults v:ext="edit" spidmax="2056"/>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619C"/>
    <w:rsid w:val="001337A1"/>
    <w:rsid w:val="005974F4"/>
    <w:rsid w:val="007B3815"/>
    <w:rsid w:val="00864A36"/>
    <w:rsid w:val="00B77118"/>
    <w:rsid w:val="00CA619C"/>
    <w:rsid w:val="00F513CF"/>
    <w:rsid w:val="00FF6C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2"/>
    </o:shapelayout>
  </w:shapeDefaults>
  <w:decimalSymbol w:val="."/>
  <w:listSeparator w:val=","/>
  <w14:docId w14:val="3709B67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able of figures"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19C"/>
    <w:pPr>
      <w:widowControl w:val="0"/>
      <w:jc w:val="both"/>
    </w:pPr>
    <w:rPr>
      <w:rFonts w:ascii="Times New Roman" w:eastAsia="宋体" w:hAnsi="Times New Roman" w:cs="Times New Roman"/>
      <w:kern w:val="2"/>
      <w:sz w:val="21"/>
      <w:szCs w:val="20"/>
      <w:lang w:eastAsia="zh-CN"/>
    </w:rPr>
  </w:style>
  <w:style w:type="paragraph" w:styleId="Heading1">
    <w:name w:val="heading 1"/>
    <w:basedOn w:val="Normal"/>
    <w:next w:val="Normal"/>
    <w:link w:val="Heading1Char"/>
    <w:uiPriority w:val="9"/>
    <w:qFormat/>
    <w:rsid w:val="00CA619C"/>
    <w:pPr>
      <w:keepNext/>
      <w:keepLines/>
      <w:numPr>
        <w:numId w:val="1"/>
      </w:numPr>
      <w:tabs>
        <w:tab w:val="left" w:pos="432"/>
      </w:tabs>
      <w:spacing w:line="300" w:lineRule="auto"/>
      <w:outlineLvl w:val="0"/>
    </w:pPr>
    <w:rPr>
      <w:b/>
      <w:bCs/>
      <w:kern w:val="44"/>
      <w:sz w:val="32"/>
      <w:szCs w:val="44"/>
    </w:rPr>
  </w:style>
  <w:style w:type="paragraph" w:styleId="Heading2">
    <w:name w:val="heading 2"/>
    <w:basedOn w:val="Normal"/>
    <w:next w:val="Normal"/>
    <w:link w:val="Heading2Char"/>
    <w:uiPriority w:val="9"/>
    <w:qFormat/>
    <w:rsid w:val="00CA619C"/>
    <w:pPr>
      <w:numPr>
        <w:ilvl w:val="1"/>
        <w:numId w:val="1"/>
      </w:numPr>
      <w:tabs>
        <w:tab w:val="left" w:pos="575"/>
      </w:tabs>
      <w:spacing w:line="300" w:lineRule="auto"/>
      <w:outlineLvl w:val="1"/>
    </w:pPr>
    <w:rPr>
      <w:b/>
      <w:sz w:val="28"/>
      <w:szCs w:val="28"/>
    </w:rPr>
  </w:style>
  <w:style w:type="paragraph" w:styleId="Heading3">
    <w:name w:val="heading 3"/>
    <w:basedOn w:val="Normal"/>
    <w:next w:val="Normal"/>
    <w:link w:val="Heading3Char"/>
    <w:uiPriority w:val="9"/>
    <w:qFormat/>
    <w:rsid w:val="00CA619C"/>
    <w:pPr>
      <w:keepNext/>
      <w:keepLines/>
      <w:tabs>
        <w:tab w:val="num" w:pos="720"/>
      </w:tabs>
      <w:spacing w:before="120" w:after="120" w:line="360" w:lineRule="auto"/>
      <w:ind w:left="720" w:hanging="720"/>
      <w:outlineLvl w:val="2"/>
    </w:pPr>
    <w:rPr>
      <w:b/>
      <w:bCs/>
      <w:sz w:val="24"/>
      <w:szCs w:val="32"/>
    </w:rPr>
  </w:style>
  <w:style w:type="paragraph" w:styleId="Heading4">
    <w:name w:val="heading 4"/>
    <w:basedOn w:val="Normal"/>
    <w:next w:val="Normal"/>
    <w:link w:val="Heading4Char"/>
    <w:uiPriority w:val="9"/>
    <w:qFormat/>
    <w:rsid w:val="00CA619C"/>
    <w:pPr>
      <w:keepNext/>
      <w:keepLines/>
      <w:numPr>
        <w:ilvl w:val="3"/>
        <w:numId w:val="1"/>
      </w:numPr>
      <w:tabs>
        <w:tab w:val="clear" w:pos="864"/>
        <w:tab w:val="left" w:pos="0"/>
      </w:tabs>
      <w:spacing w:before="120" w:after="120" w:line="360" w:lineRule="auto"/>
      <w:outlineLvl w:val="3"/>
    </w:pPr>
    <w:rPr>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CA619C"/>
    <w:rPr>
      <w:rFonts w:ascii="Times New Roman" w:eastAsia="宋体" w:hAnsi="Times New Roman" w:cs="Times New Roman"/>
      <w:b/>
      <w:bCs/>
      <w:kern w:val="44"/>
      <w:sz w:val="32"/>
      <w:szCs w:val="44"/>
      <w:lang w:eastAsia="zh-CN"/>
    </w:rPr>
  </w:style>
  <w:style w:type="character" w:customStyle="1" w:styleId="Heading2Char">
    <w:name w:val="Heading 2 Char"/>
    <w:basedOn w:val="DefaultParagraphFont"/>
    <w:link w:val="Heading2"/>
    <w:uiPriority w:val="9"/>
    <w:rsid w:val="00CA619C"/>
    <w:rPr>
      <w:rFonts w:ascii="Times New Roman" w:eastAsia="宋体" w:hAnsi="Times New Roman" w:cs="Times New Roman"/>
      <w:b/>
      <w:kern w:val="2"/>
      <w:sz w:val="28"/>
      <w:szCs w:val="28"/>
      <w:lang w:eastAsia="zh-CN"/>
    </w:rPr>
  </w:style>
  <w:style w:type="character" w:customStyle="1" w:styleId="Heading3Char">
    <w:name w:val="Heading 3 Char"/>
    <w:basedOn w:val="DefaultParagraphFont"/>
    <w:link w:val="Heading3"/>
    <w:uiPriority w:val="9"/>
    <w:rsid w:val="00CA619C"/>
    <w:rPr>
      <w:rFonts w:ascii="Times New Roman" w:eastAsia="宋体" w:hAnsi="Times New Roman" w:cs="Times New Roman"/>
      <w:b/>
      <w:bCs/>
      <w:kern w:val="2"/>
      <w:szCs w:val="32"/>
      <w:lang w:eastAsia="zh-CN"/>
    </w:rPr>
  </w:style>
  <w:style w:type="character" w:customStyle="1" w:styleId="Heading4Char">
    <w:name w:val="Heading 4 Char"/>
    <w:basedOn w:val="DefaultParagraphFont"/>
    <w:link w:val="Heading4"/>
    <w:uiPriority w:val="9"/>
    <w:rsid w:val="00CA619C"/>
    <w:rPr>
      <w:rFonts w:ascii="Times New Roman" w:eastAsia="宋体" w:hAnsi="Times New Roman" w:cs="Times New Roman"/>
      <w:b/>
      <w:bCs/>
      <w:kern w:val="2"/>
      <w:szCs w:val="28"/>
      <w:lang w:eastAsia="zh-CN"/>
    </w:rPr>
  </w:style>
  <w:style w:type="character" w:styleId="PageNumber">
    <w:name w:val="page number"/>
    <w:basedOn w:val="DefaultParagraphFont"/>
    <w:uiPriority w:val="99"/>
    <w:unhideWhenUsed/>
    <w:rsid w:val="00CA619C"/>
    <w:rPr>
      <w:sz w:val="21"/>
    </w:rPr>
  </w:style>
  <w:style w:type="character" w:styleId="Hyperlink">
    <w:name w:val="Hyperlink"/>
    <w:basedOn w:val="DefaultParagraphFont"/>
    <w:uiPriority w:val="99"/>
    <w:unhideWhenUsed/>
    <w:rsid w:val="00CA619C"/>
    <w:rPr>
      <w:color w:val="0000FF"/>
      <w:sz w:val="21"/>
      <w:u w:val="single"/>
    </w:rPr>
  </w:style>
  <w:style w:type="character" w:styleId="FollowedHyperlink">
    <w:name w:val="FollowedHyperlink"/>
    <w:basedOn w:val="DefaultParagraphFont"/>
    <w:uiPriority w:val="99"/>
    <w:unhideWhenUsed/>
    <w:rsid w:val="00CA619C"/>
    <w:rPr>
      <w:color w:val="800080"/>
      <w:sz w:val="21"/>
      <w:u w:val="single"/>
    </w:rPr>
  </w:style>
  <w:style w:type="character" w:styleId="FootnoteReference">
    <w:name w:val="footnote reference"/>
    <w:basedOn w:val="DefaultParagraphFont"/>
    <w:uiPriority w:val="99"/>
    <w:unhideWhenUsed/>
    <w:rsid w:val="00CA619C"/>
    <w:rPr>
      <w:sz w:val="21"/>
      <w:vertAlign w:val="superscript"/>
    </w:rPr>
  </w:style>
  <w:style w:type="paragraph" w:styleId="DocumentMap">
    <w:name w:val="Document Map"/>
    <w:basedOn w:val="Normal"/>
    <w:link w:val="DocumentMapChar"/>
    <w:semiHidden/>
    <w:rsid w:val="00CA619C"/>
    <w:pPr>
      <w:shd w:val="clear" w:color="auto" w:fill="000080"/>
      <w:spacing w:line="360" w:lineRule="auto"/>
      <w:ind w:firstLineChars="200" w:firstLine="200"/>
    </w:pPr>
    <w:rPr>
      <w:sz w:val="24"/>
    </w:rPr>
  </w:style>
  <w:style w:type="character" w:customStyle="1" w:styleId="DocumentMapChar">
    <w:name w:val="Document Map Char"/>
    <w:basedOn w:val="DefaultParagraphFont"/>
    <w:link w:val="DocumentMap"/>
    <w:semiHidden/>
    <w:rsid w:val="00CA619C"/>
    <w:rPr>
      <w:rFonts w:ascii="Times New Roman" w:eastAsia="宋体" w:hAnsi="Times New Roman" w:cs="Times New Roman"/>
      <w:kern w:val="2"/>
      <w:szCs w:val="20"/>
      <w:shd w:val="clear" w:color="auto" w:fill="000080"/>
      <w:lang w:eastAsia="zh-CN"/>
    </w:rPr>
  </w:style>
  <w:style w:type="paragraph" w:styleId="TOC4">
    <w:name w:val="toc 4"/>
    <w:basedOn w:val="Normal"/>
    <w:next w:val="Normal"/>
    <w:uiPriority w:val="39"/>
    <w:unhideWhenUsed/>
    <w:rsid w:val="00CA619C"/>
    <w:pPr>
      <w:spacing w:line="360" w:lineRule="auto"/>
      <w:ind w:leftChars="600" w:left="1260" w:firstLineChars="200" w:firstLine="200"/>
    </w:pPr>
    <w:rPr>
      <w:sz w:val="24"/>
    </w:rPr>
  </w:style>
  <w:style w:type="paragraph" w:styleId="TOC3">
    <w:name w:val="toc 3"/>
    <w:basedOn w:val="Normal"/>
    <w:next w:val="Normal"/>
    <w:unhideWhenUsed/>
    <w:rsid w:val="00CA619C"/>
    <w:pPr>
      <w:spacing w:line="360" w:lineRule="auto"/>
      <w:ind w:leftChars="400" w:left="840" w:firstLineChars="200" w:firstLine="200"/>
    </w:pPr>
    <w:rPr>
      <w:sz w:val="24"/>
    </w:rPr>
  </w:style>
  <w:style w:type="paragraph" w:styleId="TableofFigures">
    <w:name w:val="table of figures"/>
    <w:basedOn w:val="Normal"/>
    <w:next w:val="Normal"/>
    <w:unhideWhenUsed/>
    <w:rsid w:val="00CA619C"/>
    <w:pPr>
      <w:spacing w:line="360" w:lineRule="auto"/>
      <w:ind w:leftChars="200" w:hangingChars="200" w:hanging="200"/>
    </w:pPr>
    <w:rPr>
      <w:sz w:val="24"/>
    </w:rPr>
  </w:style>
  <w:style w:type="paragraph" w:styleId="TOC2">
    <w:name w:val="toc 2"/>
    <w:basedOn w:val="Normal"/>
    <w:next w:val="Normal"/>
    <w:unhideWhenUsed/>
    <w:rsid w:val="00CA619C"/>
    <w:pPr>
      <w:spacing w:line="360" w:lineRule="auto"/>
      <w:ind w:leftChars="200" w:left="420" w:firstLineChars="200" w:firstLine="200"/>
    </w:pPr>
    <w:rPr>
      <w:sz w:val="24"/>
    </w:rPr>
  </w:style>
  <w:style w:type="paragraph" w:styleId="TOC6">
    <w:name w:val="toc 6"/>
    <w:basedOn w:val="Normal"/>
    <w:next w:val="Normal"/>
    <w:uiPriority w:val="39"/>
    <w:unhideWhenUsed/>
    <w:rsid w:val="00CA619C"/>
    <w:pPr>
      <w:spacing w:line="360" w:lineRule="auto"/>
      <w:ind w:leftChars="1000" w:left="2100" w:firstLineChars="200" w:firstLine="200"/>
    </w:pPr>
    <w:rPr>
      <w:sz w:val="24"/>
    </w:rPr>
  </w:style>
  <w:style w:type="paragraph" w:styleId="TOC8">
    <w:name w:val="toc 8"/>
    <w:basedOn w:val="Normal"/>
    <w:next w:val="Normal"/>
    <w:uiPriority w:val="39"/>
    <w:unhideWhenUsed/>
    <w:rsid w:val="00CA619C"/>
    <w:pPr>
      <w:spacing w:line="360" w:lineRule="auto"/>
      <w:ind w:leftChars="1400" w:left="2940" w:firstLineChars="200" w:firstLine="200"/>
    </w:pPr>
    <w:rPr>
      <w:sz w:val="24"/>
    </w:rPr>
  </w:style>
  <w:style w:type="paragraph" w:styleId="TOC7">
    <w:name w:val="toc 7"/>
    <w:basedOn w:val="Normal"/>
    <w:next w:val="Normal"/>
    <w:uiPriority w:val="39"/>
    <w:unhideWhenUsed/>
    <w:rsid w:val="00CA619C"/>
    <w:pPr>
      <w:spacing w:line="360" w:lineRule="auto"/>
      <w:ind w:leftChars="1200" w:left="2520" w:firstLineChars="200" w:firstLine="200"/>
    </w:pPr>
    <w:rPr>
      <w:sz w:val="24"/>
    </w:rPr>
  </w:style>
  <w:style w:type="paragraph" w:customStyle="1" w:styleId="CharChar4">
    <w:name w:val=" Char Char4"/>
    <w:basedOn w:val="Normal"/>
    <w:rsid w:val="00CA619C"/>
  </w:style>
  <w:style w:type="paragraph" w:styleId="TOC9">
    <w:name w:val="toc 9"/>
    <w:basedOn w:val="Normal"/>
    <w:next w:val="Normal"/>
    <w:uiPriority w:val="39"/>
    <w:unhideWhenUsed/>
    <w:rsid w:val="00CA619C"/>
    <w:pPr>
      <w:spacing w:line="360" w:lineRule="auto"/>
      <w:ind w:leftChars="1600" w:left="3360" w:firstLineChars="200" w:firstLine="200"/>
    </w:pPr>
    <w:rPr>
      <w:sz w:val="24"/>
    </w:rPr>
  </w:style>
  <w:style w:type="paragraph" w:styleId="Caption">
    <w:name w:val="caption"/>
    <w:basedOn w:val="CharChar4"/>
    <w:next w:val="TableofFigures"/>
    <w:uiPriority w:val="35"/>
    <w:qFormat/>
    <w:rsid w:val="00CA619C"/>
    <w:pPr>
      <w:jc w:val="center"/>
    </w:pPr>
    <w:rPr>
      <w:rFonts w:ascii="Arial" w:eastAsia="黑体" w:hAnsi="Arial" w:cs="Arial"/>
    </w:rPr>
  </w:style>
  <w:style w:type="paragraph" w:customStyle="1" w:styleId="1">
    <w:name w:val="列出段落1"/>
    <w:basedOn w:val="Normal"/>
    <w:rsid w:val="00CA619C"/>
    <w:pPr>
      <w:widowControl/>
      <w:spacing w:after="200" w:line="360" w:lineRule="auto"/>
      <w:ind w:left="720" w:firstLineChars="200" w:firstLine="200"/>
      <w:jc w:val="left"/>
    </w:pPr>
    <w:rPr>
      <w:rFonts w:ascii="Cambria" w:hAnsi="Cambria"/>
      <w:kern w:val="0"/>
      <w:sz w:val="24"/>
      <w:lang w:eastAsia="en-US"/>
    </w:rPr>
  </w:style>
  <w:style w:type="paragraph" w:styleId="NormalWeb">
    <w:name w:val="Normal (Web)"/>
    <w:basedOn w:val="Normal"/>
    <w:uiPriority w:val="99"/>
    <w:unhideWhenUsed/>
    <w:rsid w:val="00CA619C"/>
    <w:pPr>
      <w:widowControl/>
      <w:spacing w:before="100" w:beforeAutospacing="1" w:after="100" w:afterAutospacing="1" w:line="360" w:lineRule="auto"/>
      <w:ind w:firstLineChars="200" w:firstLine="200"/>
      <w:jc w:val="left"/>
    </w:pPr>
    <w:rPr>
      <w:rFonts w:ascii="宋体" w:hAnsi="宋体" w:cs="宋体"/>
      <w:color w:val="000000"/>
      <w:kern w:val="0"/>
      <w:sz w:val="18"/>
      <w:szCs w:val="18"/>
    </w:rPr>
  </w:style>
  <w:style w:type="paragraph" w:styleId="CommentText">
    <w:name w:val="annotation text"/>
    <w:basedOn w:val="Normal"/>
    <w:link w:val="CommentTextChar"/>
    <w:uiPriority w:val="99"/>
    <w:unhideWhenUsed/>
    <w:rsid w:val="00CA619C"/>
    <w:pPr>
      <w:spacing w:line="360" w:lineRule="auto"/>
      <w:ind w:firstLineChars="200" w:firstLine="200"/>
      <w:jc w:val="left"/>
    </w:pPr>
    <w:rPr>
      <w:sz w:val="24"/>
    </w:rPr>
  </w:style>
  <w:style w:type="character" w:customStyle="1" w:styleId="CommentTextChar">
    <w:name w:val="Comment Text Char"/>
    <w:basedOn w:val="DefaultParagraphFont"/>
    <w:link w:val="CommentText"/>
    <w:uiPriority w:val="99"/>
    <w:rsid w:val="00CA619C"/>
    <w:rPr>
      <w:rFonts w:ascii="Times New Roman" w:eastAsia="宋体" w:hAnsi="Times New Roman" w:cs="Times New Roman"/>
      <w:kern w:val="2"/>
      <w:szCs w:val="20"/>
      <w:lang w:eastAsia="zh-CN"/>
    </w:rPr>
  </w:style>
  <w:style w:type="paragraph" w:customStyle="1" w:styleId="a">
    <w:name w:val="表题"/>
    <w:rsid w:val="00CA619C"/>
    <w:pPr>
      <w:numPr>
        <w:numId w:val="2"/>
      </w:numPr>
      <w:tabs>
        <w:tab w:val="clear" w:pos="0"/>
        <w:tab w:val="left" w:pos="480"/>
      </w:tabs>
      <w:adjustRightInd w:val="0"/>
      <w:snapToGrid w:val="0"/>
      <w:jc w:val="center"/>
    </w:pPr>
    <w:rPr>
      <w:rFonts w:ascii="Times New Roman" w:eastAsia="宋体" w:hAnsi="Times New Roman" w:cs="Times New Roman"/>
      <w:b/>
      <w:lang w:eastAsia="zh-CN"/>
    </w:rPr>
  </w:style>
  <w:style w:type="paragraph" w:styleId="ListParagraph">
    <w:name w:val="List Paragraph"/>
    <w:basedOn w:val="Normal"/>
    <w:qFormat/>
    <w:rsid w:val="00CA619C"/>
    <w:pPr>
      <w:spacing w:line="360" w:lineRule="auto"/>
      <w:ind w:firstLineChars="200" w:firstLine="420"/>
    </w:pPr>
    <w:rPr>
      <w:sz w:val="24"/>
    </w:rPr>
  </w:style>
  <w:style w:type="paragraph" w:styleId="FootnoteText">
    <w:name w:val="footnote text"/>
    <w:basedOn w:val="Normal"/>
    <w:link w:val="FootnoteTextChar"/>
    <w:uiPriority w:val="99"/>
    <w:unhideWhenUsed/>
    <w:rsid w:val="00CA619C"/>
    <w:pPr>
      <w:snapToGrid w:val="0"/>
      <w:spacing w:line="360" w:lineRule="auto"/>
      <w:ind w:firstLineChars="200" w:firstLine="200"/>
      <w:jc w:val="left"/>
    </w:pPr>
    <w:rPr>
      <w:sz w:val="18"/>
      <w:szCs w:val="18"/>
    </w:rPr>
  </w:style>
  <w:style w:type="character" w:customStyle="1" w:styleId="FootnoteTextChar">
    <w:name w:val="Footnote Text Char"/>
    <w:basedOn w:val="DefaultParagraphFont"/>
    <w:link w:val="FootnoteText"/>
    <w:uiPriority w:val="99"/>
    <w:rsid w:val="00CA619C"/>
    <w:rPr>
      <w:rFonts w:ascii="Times New Roman" w:eastAsia="宋体" w:hAnsi="Times New Roman" w:cs="Times New Roman"/>
      <w:kern w:val="2"/>
      <w:sz w:val="18"/>
      <w:szCs w:val="18"/>
      <w:lang w:eastAsia="zh-CN"/>
    </w:rPr>
  </w:style>
  <w:style w:type="paragraph" w:styleId="TOC1">
    <w:name w:val="toc 1"/>
    <w:basedOn w:val="Normal"/>
    <w:next w:val="Normal"/>
    <w:unhideWhenUsed/>
    <w:rsid w:val="00CA619C"/>
    <w:pPr>
      <w:spacing w:line="360" w:lineRule="auto"/>
      <w:ind w:firstLineChars="200" w:firstLine="200"/>
    </w:pPr>
    <w:rPr>
      <w:sz w:val="24"/>
    </w:rPr>
  </w:style>
  <w:style w:type="paragraph" w:styleId="TOC5">
    <w:name w:val="toc 5"/>
    <w:basedOn w:val="Normal"/>
    <w:next w:val="Normal"/>
    <w:uiPriority w:val="39"/>
    <w:unhideWhenUsed/>
    <w:rsid w:val="00CA619C"/>
    <w:pPr>
      <w:spacing w:line="360" w:lineRule="auto"/>
      <w:ind w:leftChars="800" w:left="1680" w:firstLineChars="200" w:firstLine="200"/>
    </w:pPr>
    <w:rPr>
      <w:sz w:val="24"/>
    </w:rPr>
  </w:style>
  <w:style w:type="paragraph" w:styleId="Footer">
    <w:name w:val="footer"/>
    <w:basedOn w:val="Normal"/>
    <w:link w:val="FooterChar"/>
    <w:rsid w:val="00CA619C"/>
    <w:pPr>
      <w:tabs>
        <w:tab w:val="center" w:pos="4153"/>
        <w:tab w:val="right" w:pos="8306"/>
      </w:tabs>
      <w:snapToGrid w:val="0"/>
      <w:spacing w:line="360" w:lineRule="auto"/>
      <w:ind w:firstLineChars="200" w:firstLine="200"/>
      <w:jc w:val="left"/>
    </w:pPr>
    <w:rPr>
      <w:sz w:val="18"/>
    </w:rPr>
  </w:style>
  <w:style w:type="character" w:customStyle="1" w:styleId="FooterChar">
    <w:name w:val="Footer Char"/>
    <w:basedOn w:val="DefaultParagraphFont"/>
    <w:link w:val="Footer"/>
    <w:rsid w:val="00CA619C"/>
    <w:rPr>
      <w:rFonts w:ascii="Times New Roman" w:eastAsia="宋体" w:hAnsi="Times New Roman" w:cs="Times New Roman"/>
      <w:kern w:val="2"/>
      <w:sz w:val="18"/>
      <w:szCs w:val="20"/>
      <w:lang w:eastAsia="zh-CN"/>
    </w:rPr>
  </w:style>
  <w:style w:type="paragraph" w:customStyle="1" w:styleId="a0">
    <w:name w:val="图目录"/>
    <w:basedOn w:val="Normal"/>
    <w:next w:val="TableofFigures"/>
    <w:rsid w:val="00CA619C"/>
    <w:pPr>
      <w:spacing w:line="360" w:lineRule="auto"/>
      <w:ind w:firstLineChars="200" w:firstLine="200"/>
      <w:jc w:val="center"/>
    </w:pPr>
    <w:rPr>
      <w:sz w:val="24"/>
    </w:rPr>
  </w:style>
  <w:style w:type="paragraph" w:styleId="Header">
    <w:name w:val="header"/>
    <w:basedOn w:val="Normal"/>
    <w:link w:val="HeaderChar"/>
    <w:rsid w:val="00CA619C"/>
    <w:pPr>
      <w:pBdr>
        <w:top w:val="none" w:sz="0" w:space="1" w:color="auto"/>
        <w:left w:val="none" w:sz="0" w:space="4" w:color="auto"/>
        <w:bottom w:val="none" w:sz="0" w:space="1" w:color="auto"/>
        <w:right w:val="none" w:sz="0" w:space="4" w:color="auto"/>
      </w:pBdr>
      <w:tabs>
        <w:tab w:val="center" w:pos="4153"/>
        <w:tab w:val="right" w:pos="8306"/>
      </w:tabs>
      <w:snapToGrid w:val="0"/>
      <w:ind w:firstLineChars="200" w:firstLine="200"/>
    </w:pPr>
    <w:rPr>
      <w:sz w:val="18"/>
    </w:rPr>
  </w:style>
  <w:style w:type="character" w:customStyle="1" w:styleId="HeaderChar">
    <w:name w:val="Header Char"/>
    <w:basedOn w:val="DefaultParagraphFont"/>
    <w:link w:val="Header"/>
    <w:rsid w:val="00CA619C"/>
    <w:rPr>
      <w:rFonts w:ascii="Times New Roman" w:eastAsia="宋体" w:hAnsi="Times New Roman" w:cs="Times New Roman"/>
      <w:kern w:val="2"/>
      <w:sz w:val="18"/>
      <w:szCs w:val="20"/>
      <w:lang w:eastAsia="zh-CN"/>
    </w:rPr>
  </w:style>
  <w:style w:type="paragraph" w:customStyle="1" w:styleId="a1">
    <w:name w:val="列出段落"/>
    <w:basedOn w:val="Normal"/>
    <w:qFormat/>
    <w:rsid w:val="00CA619C"/>
    <w:pPr>
      <w:tabs>
        <w:tab w:val="left" w:pos="0"/>
        <w:tab w:val="left" w:pos="420"/>
      </w:tabs>
      <w:ind w:firstLineChars="200" w:firstLine="420"/>
    </w:pPr>
  </w:style>
  <w:style w:type="paragraph" w:customStyle="1" w:styleId="a2">
    <w:name w:val="数据来源"/>
    <w:basedOn w:val="Normal"/>
    <w:next w:val="Normal"/>
    <w:rsid w:val="00CA619C"/>
    <w:pPr>
      <w:tabs>
        <w:tab w:val="left" w:pos="1440"/>
      </w:tabs>
      <w:ind w:leftChars="400" w:left="960"/>
    </w:pPr>
    <w:rPr>
      <w:rFonts w:ascii="宋体" w:eastAsia="仿宋_GB2312" w:hAnsi="宋体"/>
      <w:sz w:val="18"/>
    </w:rPr>
  </w:style>
  <w:style w:type="paragraph" w:customStyle="1" w:styleId="a3">
    <w:name w:val="图题"/>
    <w:next w:val="a0"/>
    <w:rsid w:val="00CA619C"/>
    <w:pPr>
      <w:numPr>
        <w:numId w:val="3"/>
      </w:numPr>
      <w:tabs>
        <w:tab w:val="clear" w:pos="425"/>
        <w:tab w:val="left" w:pos="480"/>
      </w:tabs>
      <w:spacing w:beforeLines="50" w:before="156" w:afterLines="50" w:after="156"/>
      <w:jc w:val="center"/>
    </w:pPr>
    <w:rPr>
      <w:rFonts w:ascii="Times New Roman" w:eastAsia="宋体" w:hAnsi="Times New Roman" w:cs="Times New Roman"/>
      <w:b/>
      <w:lang w:eastAsia="zh-CN"/>
    </w:rPr>
  </w:style>
  <w:style w:type="paragraph" w:styleId="BalloonText">
    <w:name w:val="Balloon Text"/>
    <w:basedOn w:val="Normal"/>
    <w:link w:val="BalloonTextChar"/>
    <w:semiHidden/>
    <w:rsid w:val="00CA619C"/>
    <w:pPr>
      <w:spacing w:line="360" w:lineRule="auto"/>
      <w:ind w:firstLineChars="200" w:firstLine="200"/>
    </w:pPr>
    <w:rPr>
      <w:sz w:val="18"/>
      <w:szCs w:val="18"/>
    </w:rPr>
  </w:style>
  <w:style w:type="character" w:customStyle="1" w:styleId="BalloonTextChar">
    <w:name w:val="Balloon Text Char"/>
    <w:basedOn w:val="DefaultParagraphFont"/>
    <w:link w:val="BalloonText"/>
    <w:semiHidden/>
    <w:rsid w:val="00CA619C"/>
    <w:rPr>
      <w:rFonts w:ascii="Times New Roman" w:eastAsia="宋体" w:hAnsi="Times New Roman" w:cs="Times New Roman"/>
      <w:kern w:val="2"/>
      <w:sz w:val="18"/>
      <w:szCs w:val="18"/>
      <w:lang w:eastAsia="zh-CN"/>
    </w:rPr>
  </w:style>
  <w:style w:type="table" w:styleId="TableTheme">
    <w:name w:val="Table Theme"/>
    <w:basedOn w:val="TableNormal"/>
    <w:rsid w:val="00CA619C"/>
    <w:pPr>
      <w:widowControl w:val="0"/>
      <w:spacing w:line="360" w:lineRule="auto"/>
      <w:ind w:firstLineChars="200" w:firstLine="200"/>
      <w:jc w:val="both"/>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able of figures"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19C"/>
    <w:pPr>
      <w:widowControl w:val="0"/>
      <w:jc w:val="both"/>
    </w:pPr>
    <w:rPr>
      <w:rFonts w:ascii="Times New Roman" w:eastAsia="宋体" w:hAnsi="Times New Roman" w:cs="Times New Roman"/>
      <w:kern w:val="2"/>
      <w:sz w:val="21"/>
      <w:szCs w:val="20"/>
      <w:lang w:eastAsia="zh-CN"/>
    </w:rPr>
  </w:style>
  <w:style w:type="paragraph" w:styleId="Heading1">
    <w:name w:val="heading 1"/>
    <w:basedOn w:val="Normal"/>
    <w:next w:val="Normal"/>
    <w:link w:val="Heading1Char"/>
    <w:uiPriority w:val="9"/>
    <w:qFormat/>
    <w:rsid w:val="00CA619C"/>
    <w:pPr>
      <w:keepNext/>
      <w:keepLines/>
      <w:numPr>
        <w:numId w:val="1"/>
      </w:numPr>
      <w:tabs>
        <w:tab w:val="left" w:pos="432"/>
      </w:tabs>
      <w:spacing w:line="300" w:lineRule="auto"/>
      <w:outlineLvl w:val="0"/>
    </w:pPr>
    <w:rPr>
      <w:b/>
      <w:bCs/>
      <w:kern w:val="44"/>
      <w:sz w:val="32"/>
      <w:szCs w:val="44"/>
    </w:rPr>
  </w:style>
  <w:style w:type="paragraph" w:styleId="Heading2">
    <w:name w:val="heading 2"/>
    <w:basedOn w:val="Normal"/>
    <w:next w:val="Normal"/>
    <w:link w:val="Heading2Char"/>
    <w:uiPriority w:val="9"/>
    <w:qFormat/>
    <w:rsid w:val="00CA619C"/>
    <w:pPr>
      <w:numPr>
        <w:ilvl w:val="1"/>
        <w:numId w:val="1"/>
      </w:numPr>
      <w:tabs>
        <w:tab w:val="left" w:pos="575"/>
      </w:tabs>
      <w:spacing w:line="300" w:lineRule="auto"/>
      <w:outlineLvl w:val="1"/>
    </w:pPr>
    <w:rPr>
      <w:b/>
      <w:sz w:val="28"/>
      <w:szCs w:val="28"/>
    </w:rPr>
  </w:style>
  <w:style w:type="paragraph" w:styleId="Heading3">
    <w:name w:val="heading 3"/>
    <w:basedOn w:val="Normal"/>
    <w:next w:val="Normal"/>
    <w:link w:val="Heading3Char"/>
    <w:uiPriority w:val="9"/>
    <w:qFormat/>
    <w:rsid w:val="00CA619C"/>
    <w:pPr>
      <w:keepNext/>
      <w:keepLines/>
      <w:tabs>
        <w:tab w:val="num" w:pos="720"/>
      </w:tabs>
      <w:spacing w:before="120" w:after="120" w:line="360" w:lineRule="auto"/>
      <w:ind w:left="720" w:hanging="720"/>
      <w:outlineLvl w:val="2"/>
    </w:pPr>
    <w:rPr>
      <w:b/>
      <w:bCs/>
      <w:sz w:val="24"/>
      <w:szCs w:val="32"/>
    </w:rPr>
  </w:style>
  <w:style w:type="paragraph" w:styleId="Heading4">
    <w:name w:val="heading 4"/>
    <w:basedOn w:val="Normal"/>
    <w:next w:val="Normal"/>
    <w:link w:val="Heading4Char"/>
    <w:uiPriority w:val="9"/>
    <w:qFormat/>
    <w:rsid w:val="00CA619C"/>
    <w:pPr>
      <w:keepNext/>
      <w:keepLines/>
      <w:numPr>
        <w:ilvl w:val="3"/>
        <w:numId w:val="1"/>
      </w:numPr>
      <w:tabs>
        <w:tab w:val="clear" w:pos="864"/>
        <w:tab w:val="left" w:pos="0"/>
      </w:tabs>
      <w:spacing w:before="120" w:after="120" w:line="360" w:lineRule="auto"/>
      <w:outlineLvl w:val="3"/>
    </w:pPr>
    <w:rPr>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CA619C"/>
    <w:rPr>
      <w:rFonts w:ascii="Times New Roman" w:eastAsia="宋体" w:hAnsi="Times New Roman" w:cs="Times New Roman"/>
      <w:b/>
      <w:bCs/>
      <w:kern w:val="44"/>
      <w:sz w:val="32"/>
      <w:szCs w:val="44"/>
      <w:lang w:eastAsia="zh-CN"/>
    </w:rPr>
  </w:style>
  <w:style w:type="character" w:customStyle="1" w:styleId="Heading2Char">
    <w:name w:val="Heading 2 Char"/>
    <w:basedOn w:val="DefaultParagraphFont"/>
    <w:link w:val="Heading2"/>
    <w:uiPriority w:val="9"/>
    <w:rsid w:val="00CA619C"/>
    <w:rPr>
      <w:rFonts w:ascii="Times New Roman" w:eastAsia="宋体" w:hAnsi="Times New Roman" w:cs="Times New Roman"/>
      <w:b/>
      <w:kern w:val="2"/>
      <w:sz w:val="28"/>
      <w:szCs w:val="28"/>
      <w:lang w:eastAsia="zh-CN"/>
    </w:rPr>
  </w:style>
  <w:style w:type="character" w:customStyle="1" w:styleId="Heading3Char">
    <w:name w:val="Heading 3 Char"/>
    <w:basedOn w:val="DefaultParagraphFont"/>
    <w:link w:val="Heading3"/>
    <w:uiPriority w:val="9"/>
    <w:rsid w:val="00CA619C"/>
    <w:rPr>
      <w:rFonts w:ascii="Times New Roman" w:eastAsia="宋体" w:hAnsi="Times New Roman" w:cs="Times New Roman"/>
      <w:b/>
      <w:bCs/>
      <w:kern w:val="2"/>
      <w:szCs w:val="32"/>
      <w:lang w:eastAsia="zh-CN"/>
    </w:rPr>
  </w:style>
  <w:style w:type="character" w:customStyle="1" w:styleId="Heading4Char">
    <w:name w:val="Heading 4 Char"/>
    <w:basedOn w:val="DefaultParagraphFont"/>
    <w:link w:val="Heading4"/>
    <w:uiPriority w:val="9"/>
    <w:rsid w:val="00CA619C"/>
    <w:rPr>
      <w:rFonts w:ascii="Times New Roman" w:eastAsia="宋体" w:hAnsi="Times New Roman" w:cs="Times New Roman"/>
      <w:b/>
      <w:bCs/>
      <w:kern w:val="2"/>
      <w:szCs w:val="28"/>
      <w:lang w:eastAsia="zh-CN"/>
    </w:rPr>
  </w:style>
  <w:style w:type="character" w:styleId="PageNumber">
    <w:name w:val="page number"/>
    <w:basedOn w:val="DefaultParagraphFont"/>
    <w:uiPriority w:val="99"/>
    <w:unhideWhenUsed/>
    <w:rsid w:val="00CA619C"/>
    <w:rPr>
      <w:sz w:val="21"/>
    </w:rPr>
  </w:style>
  <w:style w:type="character" w:styleId="Hyperlink">
    <w:name w:val="Hyperlink"/>
    <w:basedOn w:val="DefaultParagraphFont"/>
    <w:uiPriority w:val="99"/>
    <w:unhideWhenUsed/>
    <w:rsid w:val="00CA619C"/>
    <w:rPr>
      <w:color w:val="0000FF"/>
      <w:sz w:val="21"/>
      <w:u w:val="single"/>
    </w:rPr>
  </w:style>
  <w:style w:type="character" w:styleId="FollowedHyperlink">
    <w:name w:val="FollowedHyperlink"/>
    <w:basedOn w:val="DefaultParagraphFont"/>
    <w:uiPriority w:val="99"/>
    <w:unhideWhenUsed/>
    <w:rsid w:val="00CA619C"/>
    <w:rPr>
      <w:color w:val="800080"/>
      <w:sz w:val="21"/>
      <w:u w:val="single"/>
    </w:rPr>
  </w:style>
  <w:style w:type="character" w:styleId="FootnoteReference">
    <w:name w:val="footnote reference"/>
    <w:basedOn w:val="DefaultParagraphFont"/>
    <w:uiPriority w:val="99"/>
    <w:unhideWhenUsed/>
    <w:rsid w:val="00CA619C"/>
    <w:rPr>
      <w:sz w:val="21"/>
      <w:vertAlign w:val="superscript"/>
    </w:rPr>
  </w:style>
  <w:style w:type="paragraph" w:styleId="DocumentMap">
    <w:name w:val="Document Map"/>
    <w:basedOn w:val="Normal"/>
    <w:link w:val="DocumentMapChar"/>
    <w:semiHidden/>
    <w:rsid w:val="00CA619C"/>
    <w:pPr>
      <w:shd w:val="clear" w:color="auto" w:fill="000080"/>
      <w:spacing w:line="360" w:lineRule="auto"/>
      <w:ind w:firstLineChars="200" w:firstLine="200"/>
    </w:pPr>
    <w:rPr>
      <w:sz w:val="24"/>
    </w:rPr>
  </w:style>
  <w:style w:type="character" w:customStyle="1" w:styleId="DocumentMapChar">
    <w:name w:val="Document Map Char"/>
    <w:basedOn w:val="DefaultParagraphFont"/>
    <w:link w:val="DocumentMap"/>
    <w:semiHidden/>
    <w:rsid w:val="00CA619C"/>
    <w:rPr>
      <w:rFonts w:ascii="Times New Roman" w:eastAsia="宋体" w:hAnsi="Times New Roman" w:cs="Times New Roman"/>
      <w:kern w:val="2"/>
      <w:szCs w:val="20"/>
      <w:shd w:val="clear" w:color="auto" w:fill="000080"/>
      <w:lang w:eastAsia="zh-CN"/>
    </w:rPr>
  </w:style>
  <w:style w:type="paragraph" w:styleId="TOC4">
    <w:name w:val="toc 4"/>
    <w:basedOn w:val="Normal"/>
    <w:next w:val="Normal"/>
    <w:uiPriority w:val="39"/>
    <w:unhideWhenUsed/>
    <w:rsid w:val="00CA619C"/>
    <w:pPr>
      <w:spacing w:line="360" w:lineRule="auto"/>
      <w:ind w:leftChars="600" w:left="1260" w:firstLineChars="200" w:firstLine="200"/>
    </w:pPr>
    <w:rPr>
      <w:sz w:val="24"/>
    </w:rPr>
  </w:style>
  <w:style w:type="paragraph" w:styleId="TOC3">
    <w:name w:val="toc 3"/>
    <w:basedOn w:val="Normal"/>
    <w:next w:val="Normal"/>
    <w:unhideWhenUsed/>
    <w:rsid w:val="00CA619C"/>
    <w:pPr>
      <w:spacing w:line="360" w:lineRule="auto"/>
      <w:ind w:leftChars="400" w:left="840" w:firstLineChars="200" w:firstLine="200"/>
    </w:pPr>
    <w:rPr>
      <w:sz w:val="24"/>
    </w:rPr>
  </w:style>
  <w:style w:type="paragraph" w:styleId="TableofFigures">
    <w:name w:val="table of figures"/>
    <w:basedOn w:val="Normal"/>
    <w:next w:val="Normal"/>
    <w:unhideWhenUsed/>
    <w:rsid w:val="00CA619C"/>
    <w:pPr>
      <w:spacing w:line="360" w:lineRule="auto"/>
      <w:ind w:leftChars="200" w:hangingChars="200" w:hanging="200"/>
    </w:pPr>
    <w:rPr>
      <w:sz w:val="24"/>
    </w:rPr>
  </w:style>
  <w:style w:type="paragraph" w:styleId="TOC2">
    <w:name w:val="toc 2"/>
    <w:basedOn w:val="Normal"/>
    <w:next w:val="Normal"/>
    <w:unhideWhenUsed/>
    <w:rsid w:val="00CA619C"/>
    <w:pPr>
      <w:spacing w:line="360" w:lineRule="auto"/>
      <w:ind w:leftChars="200" w:left="420" w:firstLineChars="200" w:firstLine="200"/>
    </w:pPr>
    <w:rPr>
      <w:sz w:val="24"/>
    </w:rPr>
  </w:style>
  <w:style w:type="paragraph" w:styleId="TOC6">
    <w:name w:val="toc 6"/>
    <w:basedOn w:val="Normal"/>
    <w:next w:val="Normal"/>
    <w:uiPriority w:val="39"/>
    <w:unhideWhenUsed/>
    <w:rsid w:val="00CA619C"/>
    <w:pPr>
      <w:spacing w:line="360" w:lineRule="auto"/>
      <w:ind w:leftChars="1000" w:left="2100" w:firstLineChars="200" w:firstLine="200"/>
    </w:pPr>
    <w:rPr>
      <w:sz w:val="24"/>
    </w:rPr>
  </w:style>
  <w:style w:type="paragraph" w:styleId="TOC8">
    <w:name w:val="toc 8"/>
    <w:basedOn w:val="Normal"/>
    <w:next w:val="Normal"/>
    <w:uiPriority w:val="39"/>
    <w:unhideWhenUsed/>
    <w:rsid w:val="00CA619C"/>
    <w:pPr>
      <w:spacing w:line="360" w:lineRule="auto"/>
      <w:ind w:leftChars="1400" w:left="2940" w:firstLineChars="200" w:firstLine="200"/>
    </w:pPr>
    <w:rPr>
      <w:sz w:val="24"/>
    </w:rPr>
  </w:style>
  <w:style w:type="paragraph" w:styleId="TOC7">
    <w:name w:val="toc 7"/>
    <w:basedOn w:val="Normal"/>
    <w:next w:val="Normal"/>
    <w:uiPriority w:val="39"/>
    <w:unhideWhenUsed/>
    <w:rsid w:val="00CA619C"/>
    <w:pPr>
      <w:spacing w:line="360" w:lineRule="auto"/>
      <w:ind w:leftChars="1200" w:left="2520" w:firstLineChars="200" w:firstLine="200"/>
    </w:pPr>
    <w:rPr>
      <w:sz w:val="24"/>
    </w:rPr>
  </w:style>
  <w:style w:type="paragraph" w:customStyle="1" w:styleId="CharChar4">
    <w:name w:val=" Char Char4"/>
    <w:basedOn w:val="Normal"/>
    <w:rsid w:val="00CA619C"/>
  </w:style>
  <w:style w:type="paragraph" w:styleId="TOC9">
    <w:name w:val="toc 9"/>
    <w:basedOn w:val="Normal"/>
    <w:next w:val="Normal"/>
    <w:uiPriority w:val="39"/>
    <w:unhideWhenUsed/>
    <w:rsid w:val="00CA619C"/>
    <w:pPr>
      <w:spacing w:line="360" w:lineRule="auto"/>
      <w:ind w:leftChars="1600" w:left="3360" w:firstLineChars="200" w:firstLine="200"/>
    </w:pPr>
    <w:rPr>
      <w:sz w:val="24"/>
    </w:rPr>
  </w:style>
  <w:style w:type="paragraph" w:styleId="Caption">
    <w:name w:val="caption"/>
    <w:basedOn w:val="CharChar4"/>
    <w:next w:val="TableofFigures"/>
    <w:uiPriority w:val="35"/>
    <w:qFormat/>
    <w:rsid w:val="00CA619C"/>
    <w:pPr>
      <w:jc w:val="center"/>
    </w:pPr>
    <w:rPr>
      <w:rFonts w:ascii="Arial" w:eastAsia="黑体" w:hAnsi="Arial" w:cs="Arial"/>
    </w:rPr>
  </w:style>
  <w:style w:type="paragraph" w:customStyle="1" w:styleId="1">
    <w:name w:val="列出段落1"/>
    <w:basedOn w:val="Normal"/>
    <w:rsid w:val="00CA619C"/>
    <w:pPr>
      <w:widowControl/>
      <w:spacing w:after="200" w:line="360" w:lineRule="auto"/>
      <w:ind w:left="720" w:firstLineChars="200" w:firstLine="200"/>
      <w:jc w:val="left"/>
    </w:pPr>
    <w:rPr>
      <w:rFonts w:ascii="Cambria" w:hAnsi="Cambria"/>
      <w:kern w:val="0"/>
      <w:sz w:val="24"/>
      <w:lang w:eastAsia="en-US"/>
    </w:rPr>
  </w:style>
  <w:style w:type="paragraph" w:styleId="NormalWeb">
    <w:name w:val="Normal (Web)"/>
    <w:basedOn w:val="Normal"/>
    <w:uiPriority w:val="99"/>
    <w:unhideWhenUsed/>
    <w:rsid w:val="00CA619C"/>
    <w:pPr>
      <w:widowControl/>
      <w:spacing w:before="100" w:beforeAutospacing="1" w:after="100" w:afterAutospacing="1" w:line="360" w:lineRule="auto"/>
      <w:ind w:firstLineChars="200" w:firstLine="200"/>
      <w:jc w:val="left"/>
    </w:pPr>
    <w:rPr>
      <w:rFonts w:ascii="宋体" w:hAnsi="宋体" w:cs="宋体"/>
      <w:color w:val="000000"/>
      <w:kern w:val="0"/>
      <w:sz w:val="18"/>
      <w:szCs w:val="18"/>
    </w:rPr>
  </w:style>
  <w:style w:type="paragraph" w:styleId="CommentText">
    <w:name w:val="annotation text"/>
    <w:basedOn w:val="Normal"/>
    <w:link w:val="CommentTextChar"/>
    <w:uiPriority w:val="99"/>
    <w:unhideWhenUsed/>
    <w:rsid w:val="00CA619C"/>
    <w:pPr>
      <w:spacing w:line="360" w:lineRule="auto"/>
      <w:ind w:firstLineChars="200" w:firstLine="200"/>
      <w:jc w:val="left"/>
    </w:pPr>
    <w:rPr>
      <w:sz w:val="24"/>
    </w:rPr>
  </w:style>
  <w:style w:type="character" w:customStyle="1" w:styleId="CommentTextChar">
    <w:name w:val="Comment Text Char"/>
    <w:basedOn w:val="DefaultParagraphFont"/>
    <w:link w:val="CommentText"/>
    <w:uiPriority w:val="99"/>
    <w:rsid w:val="00CA619C"/>
    <w:rPr>
      <w:rFonts w:ascii="Times New Roman" w:eastAsia="宋体" w:hAnsi="Times New Roman" w:cs="Times New Roman"/>
      <w:kern w:val="2"/>
      <w:szCs w:val="20"/>
      <w:lang w:eastAsia="zh-CN"/>
    </w:rPr>
  </w:style>
  <w:style w:type="paragraph" w:customStyle="1" w:styleId="a">
    <w:name w:val="表题"/>
    <w:rsid w:val="00CA619C"/>
    <w:pPr>
      <w:numPr>
        <w:numId w:val="2"/>
      </w:numPr>
      <w:tabs>
        <w:tab w:val="clear" w:pos="0"/>
        <w:tab w:val="left" w:pos="480"/>
      </w:tabs>
      <w:adjustRightInd w:val="0"/>
      <w:snapToGrid w:val="0"/>
      <w:jc w:val="center"/>
    </w:pPr>
    <w:rPr>
      <w:rFonts w:ascii="Times New Roman" w:eastAsia="宋体" w:hAnsi="Times New Roman" w:cs="Times New Roman"/>
      <w:b/>
      <w:lang w:eastAsia="zh-CN"/>
    </w:rPr>
  </w:style>
  <w:style w:type="paragraph" w:styleId="ListParagraph">
    <w:name w:val="List Paragraph"/>
    <w:basedOn w:val="Normal"/>
    <w:qFormat/>
    <w:rsid w:val="00CA619C"/>
    <w:pPr>
      <w:spacing w:line="360" w:lineRule="auto"/>
      <w:ind w:firstLineChars="200" w:firstLine="420"/>
    </w:pPr>
    <w:rPr>
      <w:sz w:val="24"/>
    </w:rPr>
  </w:style>
  <w:style w:type="paragraph" w:styleId="FootnoteText">
    <w:name w:val="footnote text"/>
    <w:basedOn w:val="Normal"/>
    <w:link w:val="FootnoteTextChar"/>
    <w:uiPriority w:val="99"/>
    <w:unhideWhenUsed/>
    <w:rsid w:val="00CA619C"/>
    <w:pPr>
      <w:snapToGrid w:val="0"/>
      <w:spacing w:line="360" w:lineRule="auto"/>
      <w:ind w:firstLineChars="200" w:firstLine="200"/>
      <w:jc w:val="left"/>
    </w:pPr>
    <w:rPr>
      <w:sz w:val="18"/>
      <w:szCs w:val="18"/>
    </w:rPr>
  </w:style>
  <w:style w:type="character" w:customStyle="1" w:styleId="FootnoteTextChar">
    <w:name w:val="Footnote Text Char"/>
    <w:basedOn w:val="DefaultParagraphFont"/>
    <w:link w:val="FootnoteText"/>
    <w:uiPriority w:val="99"/>
    <w:rsid w:val="00CA619C"/>
    <w:rPr>
      <w:rFonts w:ascii="Times New Roman" w:eastAsia="宋体" w:hAnsi="Times New Roman" w:cs="Times New Roman"/>
      <w:kern w:val="2"/>
      <w:sz w:val="18"/>
      <w:szCs w:val="18"/>
      <w:lang w:eastAsia="zh-CN"/>
    </w:rPr>
  </w:style>
  <w:style w:type="paragraph" w:styleId="TOC1">
    <w:name w:val="toc 1"/>
    <w:basedOn w:val="Normal"/>
    <w:next w:val="Normal"/>
    <w:unhideWhenUsed/>
    <w:rsid w:val="00CA619C"/>
    <w:pPr>
      <w:spacing w:line="360" w:lineRule="auto"/>
      <w:ind w:firstLineChars="200" w:firstLine="200"/>
    </w:pPr>
    <w:rPr>
      <w:sz w:val="24"/>
    </w:rPr>
  </w:style>
  <w:style w:type="paragraph" w:styleId="TOC5">
    <w:name w:val="toc 5"/>
    <w:basedOn w:val="Normal"/>
    <w:next w:val="Normal"/>
    <w:uiPriority w:val="39"/>
    <w:unhideWhenUsed/>
    <w:rsid w:val="00CA619C"/>
    <w:pPr>
      <w:spacing w:line="360" w:lineRule="auto"/>
      <w:ind w:leftChars="800" w:left="1680" w:firstLineChars="200" w:firstLine="200"/>
    </w:pPr>
    <w:rPr>
      <w:sz w:val="24"/>
    </w:rPr>
  </w:style>
  <w:style w:type="paragraph" w:styleId="Footer">
    <w:name w:val="footer"/>
    <w:basedOn w:val="Normal"/>
    <w:link w:val="FooterChar"/>
    <w:rsid w:val="00CA619C"/>
    <w:pPr>
      <w:tabs>
        <w:tab w:val="center" w:pos="4153"/>
        <w:tab w:val="right" w:pos="8306"/>
      </w:tabs>
      <w:snapToGrid w:val="0"/>
      <w:spacing w:line="360" w:lineRule="auto"/>
      <w:ind w:firstLineChars="200" w:firstLine="200"/>
      <w:jc w:val="left"/>
    </w:pPr>
    <w:rPr>
      <w:sz w:val="18"/>
    </w:rPr>
  </w:style>
  <w:style w:type="character" w:customStyle="1" w:styleId="FooterChar">
    <w:name w:val="Footer Char"/>
    <w:basedOn w:val="DefaultParagraphFont"/>
    <w:link w:val="Footer"/>
    <w:rsid w:val="00CA619C"/>
    <w:rPr>
      <w:rFonts w:ascii="Times New Roman" w:eastAsia="宋体" w:hAnsi="Times New Roman" w:cs="Times New Roman"/>
      <w:kern w:val="2"/>
      <w:sz w:val="18"/>
      <w:szCs w:val="20"/>
      <w:lang w:eastAsia="zh-CN"/>
    </w:rPr>
  </w:style>
  <w:style w:type="paragraph" w:customStyle="1" w:styleId="a0">
    <w:name w:val="图目录"/>
    <w:basedOn w:val="Normal"/>
    <w:next w:val="TableofFigures"/>
    <w:rsid w:val="00CA619C"/>
    <w:pPr>
      <w:spacing w:line="360" w:lineRule="auto"/>
      <w:ind w:firstLineChars="200" w:firstLine="200"/>
      <w:jc w:val="center"/>
    </w:pPr>
    <w:rPr>
      <w:sz w:val="24"/>
    </w:rPr>
  </w:style>
  <w:style w:type="paragraph" w:styleId="Header">
    <w:name w:val="header"/>
    <w:basedOn w:val="Normal"/>
    <w:link w:val="HeaderChar"/>
    <w:rsid w:val="00CA619C"/>
    <w:pPr>
      <w:pBdr>
        <w:top w:val="none" w:sz="0" w:space="1" w:color="auto"/>
        <w:left w:val="none" w:sz="0" w:space="4" w:color="auto"/>
        <w:bottom w:val="none" w:sz="0" w:space="1" w:color="auto"/>
        <w:right w:val="none" w:sz="0" w:space="4" w:color="auto"/>
      </w:pBdr>
      <w:tabs>
        <w:tab w:val="center" w:pos="4153"/>
        <w:tab w:val="right" w:pos="8306"/>
      </w:tabs>
      <w:snapToGrid w:val="0"/>
      <w:ind w:firstLineChars="200" w:firstLine="200"/>
    </w:pPr>
    <w:rPr>
      <w:sz w:val="18"/>
    </w:rPr>
  </w:style>
  <w:style w:type="character" w:customStyle="1" w:styleId="HeaderChar">
    <w:name w:val="Header Char"/>
    <w:basedOn w:val="DefaultParagraphFont"/>
    <w:link w:val="Header"/>
    <w:rsid w:val="00CA619C"/>
    <w:rPr>
      <w:rFonts w:ascii="Times New Roman" w:eastAsia="宋体" w:hAnsi="Times New Roman" w:cs="Times New Roman"/>
      <w:kern w:val="2"/>
      <w:sz w:val="18"/>
      <w:szCs w:val="20"/>
      <w:lang w:eastAsia="zh-CN"/>
    </w:rPr>
  </w:style>
  <w:style w:type="paragraph" w:customStyle="1" w:styleId="a1">
    <w:name w:val="列出段落"/>
    <w:basedOn w:val="Normal"/>
    <w:qFormat/>
    <w:rsid w:val="00CA619C"/>
    <w:pPr>
      <w:tabs>
        <w:tab w:val="left" w:pos="0"/>
        <w:tab w:val="left" w:pos="420"/>
      </w:tabs>
      <w:ind w:firstLineChars="200" w:firstLine="420"/>
    </w:pPr>
  </w:style>
  <w:style w:type="paragraph" w:customStyle="1" w:styleId="a2">
    <w:name w:val="数据来源"/>
    <w:basedOn w:val="Normal"/>
    <w:next w:val="Normal"/>
    <w:rsid w:val="00CA619C"/>
    <w:pPr>
      <w:tabs>
        <w:tab w:val="left" w:pos="1440"/>
      </w:tabs>
      <w:ind w:leftChars="400" w:left="960"/>
    </w:pPr>
    <w:rPr>
      <w:rFonts w:ascii="宋体" w:eastAsia="仿宋_GB2312" w:hAnsi="宋体"/>
      <w:sz w:val="18"/>
    </w:rPr>
  </w:style>
  <w:style w:type="paragraph" w:customStyle="1" w:styleId="a3">
    <w:name w:val="图题"/>
    <w:next w:val="a0"/>
    <w:rsid w:val="00CA619C"/>
    <w:pPr>
      <w:numPr>
        <w:numId w:val="3"/>
      </w:numPr>
      <w:tabs>
        <w:tab w:val="clear" w:pos="425"/>
        <w:tab w:val="left" w:pos="480"/>
      </w:tabs>
      <w:spacing w:beforeLines="50" w:before="156" w:afterLines="50" w:after="156"/>
      <w:jc w:val="center"/>
    </w:pPr>
    <w:rPr>
      <w:rFonts w:ascii="Times New Roman" w:eastAsia="宋体" w:hAnsi="Times New Roman" w:cs="Times New Roman"/>
      <w:b/>
      <w:lang w:eastAsia="zh-CN"/>
    </w:rPr>
  </w:style>
  <w:style w:type="paragraph" w:styleId="BalloonText">
    <w:name w:val="Balloon Text"/>
    <w:basedOn w:val="Normal"/>
    <w:link w:val="BalloonTextChar"/>
    <w:semiHidden/>
    <w:rsid w:val="00CA619C"/>
    <w:pPr>
      <w:spacing w:line="360" w:lineRule="auto"/>
      <w:ind w:firstLineChars="200" w:firstLine="200"/>
    </w:pPr>
    <w:rPr>
      <w:sz w:val="18"/>
      <w:szCs w:val="18"/>
    </w:rPr>
  </w:style>
  <w:style w:type="character" w:customStyle="1" w:styleId="BalloonTextChar">
    <w:name w:val="Balloon Text Char"/>
    <w:basedOn w:val="DefaultParagraphFont"/>
    <w:link w:val="BalloonText"/>
    <w:semiHidden/>
    <w:rsid w:val="00CA619C"/>
    <w:rPr>
      <w:rFonts w:ascii="Times New Roman" w:eastAsia="宋体" w:hAnsi="Times New Roman" w:cs="Times New Roman"/>
      <w:kern w:val="2"/>
      <w:sz w:val="18"/>
      <w:szCs w:val="18"/>
      <w:lang w:eastAsia="zh-CN"/>
    </w:rPr>
  </w:style>
  <w:style w:type="table" w:styleId="TableTheme">
    <w:name w:val="Table Theme"/>
    <w:basedOn w:val="TableNormal"/>
    <w:rsid w:val="00CA619C"/>
    <w:pPr>
      <w:widowControl w:val="0"/>
      <w:spacing w:line="360" w:lineRule="auto"/>
      <w:ind w:firstLineChars="200" w:firstLine="200"/>
      <w:jc w:val="both"/>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header" Target="header4.xml"/><Relationship Id="rId19" Type="http://schemas.openxmlformats.org/officeDocument/2006/relationships/header" Target="header5.xml"/><Relationship Id="rId30" Type="http://schemas.openxmlformats.org/officeDocument/2006/relationships/image" Target="media/image8.png"/><Relationship Id="rId31" Type="http://schemas.openxmlformats.org/officeDocument/2006/relationships/image" Target="media/image9.emf"/><Relationship Id="rId32" Type="http://schemas.openxmlformats.org/officeDocument/2006/relationships/image" Target="media/image10.jpeg"/><Relationship Id="rId33" Type="http://schemas.openxmlformats.org/officeDocument/2006/relationships/image" Target="media/image11.jpeg"/><Relationship Id="rId34" Type="http://schemas.openxmlformats.org/officeDocument/2006/relationships/image" Target="media/image12.jpeg"/><Relationship Id="rId35" Type="http://schemas.openxmlformats.org/officeDocument/2006/relationships/image" Target="media/image13.png"/><Relationship Id="rId36" Type="http://schemas.openxmlformats.org/officeDocument/2006/relationships/image" Target="media/image14.png"/><Relationship Id="rId37" Type="http://schemas.openxmlformats.org/officeDocument/2006/relationships/image" Target="media/image15.png"/><Relationship Id="rId38" Type="http://schemas.openxmlformats.org/officeDocument/2006/relationships/image" Target="media/image16.png"/><Relationship Id="rId39" Type="http://schemas.openxmlformats.org/officeDocument/2006/relationships/image" Target="media/image17.png"/><Relationship Id="rId50" Type="http://schemas.openxmlformats.org/officeDocument/2006/relationships/header" Target="header7.xml"/><Relationship Id="rId51" Type="http://schemas.openxmlformats.org/officeDocument/2006/relationships/footer" Target="footer9.xml"/><Relationship Id="rId52" Type="http://schemas.openxmlformats.org/officeDocument/2006/relationships/footer" Target="footer10.xml"/><Relationship Id="rId53" Type="http://schemas.openxmlformats.org/officeDocument/2006/relationships/image" Target="media/image28.jpeg"/><Relationship Id="rId54" Type="http://schemas.openxmlformats.org/officeDocument/2006/relationships/image" Target="media/image29.png"/><Relationship Id="rId55" Type="http://schemas.openxmlformats.org/officeDocument/2006/relationships/image" Target="media/image30.png"/><Relationship Id="rId56" Type="http://schemas.openxmlformats.org/officeDocument/2006/relationships/image" Target="media/image31.png"/><Relationship Id="rId57" Type="http://schemas.openxmlformats.org/officeDocument/2006/relationships/image" Target="media/image32.png"/><Relationship Id="rId58" Type="http://schemas.openxmlformats.org/officeDocument/2006/relationships/image" Target="media/image33.png"/><Relationship Id="rId59" Type="http://schemas.openxmlformats.org/officeDocument/2006/relationships/image" Target="media/image34.png"/><Relationship Id="rId70" Type="http://schemas.openxmlformats.org/officeDocument/2006/relationships/hyperlink" Target="https://lpo.energy.gov/projects/abengoa-solar-inc/" TargetMode="External"/><Relationship Id="rId71" Type="http://schemas.openxmlformats.org/officeDocument/2006/relationships/hyperlink" Target="https://lpo.energy.gov/our-projects/discontinued-projects/" TargetMode="External"/><Relationship Id="rId72" Type="http://schemas.openxmlformats.org/officeDocument/2006/relationships/hyperlink" Target="https://lpo.energy.gov/projects/caithness-shepherds-flat/" TargetMode="External"/><Relationship Id="rId73" Type="http://schemas.openxmlformats.org/officeDocument/2006/relationships/hyperlink" Target="https://lpo.energy.gov/projects/cogentrix-of-alamosa-llc/" TargetMode="External"/><Relationship Id="rId74" Type="http://schemas.openxmlformats.org/officeDocument/2006/relationships/hyperlink" Target="https://lpo.energy.gov/projects/first-solar-inc-antelope/" TargetMode="External"/><Relationship Id="rId75" Type="http://schemas.openxmlformats.org/officeDocument/2006/relationships/hyperlink" Target="https://lpo.energy.gov/projects/granite-reliable/" TargetMode="External"/><Relationship Id="rId76" Type="http://schemas.openxmlformats.org/officeDocument/2006/relationships/hyperlink" Target="https://lpo.energy.gov/projects/ls-power-associateson-line/" TargetMode="External"/><Relationship Id="rId77" Type="http://schemas.openxmlformats.org/officeDocument/2006/relationships/hyperlink" Target="https://lpo.energy.gov/projects/mesquite-solar-1-llc-sempra-mesquite/" TargetMode="External"/><Relationship Id="rId78" Type="http://schemas.openxmlformats.org/officeDocument/2006/relationships/hyperlink" Target="https://lpo.energy.gov/projects/nevada-geothermal-power-company-inc/" TargetMode="External"/><Relationship Id="rId79" Type="http://schemas.openxmlformats.org/officeDocument/2006/relationships/hyperlink" Target="https://lpo.energy.gov/projects/first-solar-inc-desert-sunlight/" TargetMode="External"/><Relationship Id="rId90" Type="http://schemas.openxmlformats.org/officeDocument/2006/relationships/hyperlink" Target="https://lpo.energy.gov/projects/beacon-power-corporation/" TargetMode="External"/><Relationship Id="rId91" Type="http://schemas.openxmlformats.org/officeDocument/2006/relationships/hyperlink" Target="https://lpo.energy.gov/projects/us-geothermal-inc/" TargetMode="External"/><Relationship Id="rId92" Type="http://schemas.openxmlformats.org/officeDocument/2006/relationships/image" Target="media/image43.png"/><Relationship Id="rId93" Type="http://schemas.openxmlformats.org/officeDocument/2006/relationships/image" Target="media/image44.png"/><Relationship Id="rId94" Type="http://schemas.openxmlformats.org/officeDocument/2006/relationships/image" Target="media/image45.png"/><Relationship Id="rId95" Type="http://schemas.openxmlformats.org/officeDocument/2006/relationships/hyperlink" Target="https://arpa-e-foa.energy.gov/Default.aspx/" TargetMode="External"/><Relationship Id="rId96" Type="http://schemas.openxmlformats.org/officeDocument/2006/relationships/image" Target="media/image46.png"/><Relationship Id="rId97" Type="http://schemas.openxmlformats.org/officeDocument/2006/relationships/fontTable" Target="fontTable.xml"/><Relationship Id="rId98" Type="http://schemas.openxmlformats.org/officeDocument/2006/relationships/theme" Target="theme/theme1.xml"/><Relationship Id="rId20" Type="http://schemas.openxmlformats.org/officeDocument/2006/relationships/footer" Target="footer6.xml"/><Relationship Id="rId21" Type="http://schemas.openxmlformats.org/officeDocument/2006/relationships/footer" Target="footer7.xml"/><Relationship Id="rId22" Type="http://schemas.openxmlformats.org/officeDocument/2006/relationships/header" Target="header6.xml"/><Relationship Id="rId23" Type="http://schemas.openxmlformats.org/officeDocument/2006/relationships/footer" Target="footer8.xml"/><Relationship Id="rId24" Type="http://schemas.openxmlformats.org/officeDocument/2006/relationships/image" Target="media/image2.emf"/><Relationship Id="rId25" Type="http://schemas.openxmlformats.org/officeDocument/2006/relationships/image" Target="media/image3.png"/><Relationship Id="rId26" Type="http://schemas.openxmlformats.org/officeDocument/2006/relationships/image" Target="media/image4.png"/><Relationship Id="rId27" Type="http://schemas.openxmlformats.org/officeDocument/2006/relationships/image" Target="media/image5.png"/><Relationship Id="rId28" Type="http://schemas.openxmlformats.org/officeDocument/2006/relationships/image" Target="media/image6.png"/><Relationship Id="rId29" Type="http://schemas.openxmlformats.org/officeDocument/2006/relationships/image" Target="media/image7.emf"/><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image" Target="media/image20.jpeg"/><Relationship Id="rId43" Type="http://schemas.openxmlformats.org/officeDocument/2006/relationships/image" Target="media/image21.jpeg"/><Relationship Id="rId44" Type="http://schemas.openxmlformats.org/officeDocument/2006/relationships/image" Target="media/image22.png"/><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emf"/><Relationship Id="rId48" Type="http://schemas.openxmlformats.org/officeDocument/2006/relationships/image" Target="media/image26.png"/><Relationship Id="rId49" Type="http://schemas.openxmlformats.org/officeDocument/2006/relationships/image" Target="media/image27.png"/><Relationship Id="rId60" Type="http://schemas.openxmlformats.org/officeDocument/2006/relationships/image" Target="media/image35.png"/><Relationship Id="rId61" Type="http://schemas.openxmlformats.org/officeDocument/2006/relationships/image" Target="media/image36.png"/><Relationship Id="rId62" Type="http://schemas.openxmlformats.org/officeDocument/2006/relationships/image" Target="media/image37.png"/><Relationship Id="rId63" Type="http://schemas.openxmlformats.org/officeDocument/2006/relationships/image" Target="media/image38.png"/><Relationship Id="rId64" Type="http://schemas.openxmlformats.org/officeDocument/2006/relationships/image" Target="media/image39.png"/><Relationship Id="rId65" Type="http://schemas.openxmlformats.org/officeDocument/2006/relationships/image" Target="media/image40.png"/><Relationship Id="rId66" Type="http://schemas.openxmlformats.org/officeDocument/2006/relationships/hyperlink" Target="http://www.nrel.gov/innovation" TargetMode="External"/><Relationship Id="rId67" Type="http://schemas.openxmlformats.org/officeDocument/2006/relationships/image" Target="media/image41.png"/><Relationship Id="rId68" Type="http://schemas.openxmlformats.org/officeDocument/2006/relationships/image" Target="media/image42.png"/><Relationship Id="rId69" Type="http://schemas.openxmlformats.org/officeDocument/2006/relationships/hyperlink" Target="https://lpo.energy.gov/projects/abengoa-solar-inc-mojave-solar/" TargetMode="External"/><Relationship Id="rId80" Type="http://schemas.openxmlformats.org/officeDocument/2006/relationships/hyperlink" Target="https://lpo.energy.gov/projects/nextera-energy-resources-llc-genesis-solar/" TargetMode="External"/><Relationship Id="rId81" Type="http://schemas.openxmlformats.org/officeDocument/2006/relationships/hyperlink" Target="https://lpo.energy.gov/projects/brightsource-energy-inc/" TargetMode="External"/><Relationship Id="rId82" Type="http://schemas.openxmlformats.org/officeDocument/2006/relationships/hyperlink" Target="https://lpo.energy.gov/projects/sunpower-corporation-systems-california-valley-solar-ranch/" TargetMode="External"/><Relationship Id="rId83" Type="http://schemas.openxmlformats.org/officeDocument/2006/relationships/hyperlink" Target="https://lpo.energy.gov/projects/agua-caliente/" TargetMode="External"/><Relationship Id="rId84" Type="http://schemas.openxmlformats.org/officeDocument/2006/relationships/hyperlink" Target="https://lpo.energy.gov/projects/ormat-nevada-inc/" TargetMode="External"/><Relationship Id="rId85" Type="http://schemas.openxmlformats.org/officeDocument/2006/relationships/hyperlink" Target="https://lpo.energy.gov/projects/prologis-project-amp/" TargetMode="External"/><Relationship Id="rId86" Type="http://schemas.openxmlformats.org/officeDocument/2006/relationships/hyperlink" Target="https://lpo.energy.gov/projects/record-hill-wind/" TargetMode="External"/><Relationship Id="rId87" Type="http://schemas.openxmlformats.org/officeDocument/2006/relationships/hyperlink" Target="https://lpo.energy.gov/projects/solarreserve-llc-crescent-dunes/" TargetMode="External"/><Relationship Id="rId88" Type="http://schemas.openxmlformats.org/officeDocument/2006/relationships/hyperlink" Target="https://lpo.energy.gov/projects/solopower/" TargetMode="External"/><Relationship Id="rId89" Type="http://schemas.openxmlformats.org/officeDocument/2006/relationships/hyperlink" Target="https://lpo.energy.gov/our-projects/discontinued-project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news.xinhuanet.com/banyt/2004-04/08/content_1407903.htm" TargetMode="External"/><Relationship Id="rId4" Type="http://schemas.openxmlformats.org/officeDocument/2006/relationships/hyperlink" Target="http://www.escn.com.cn/2011/1123/53408.html" TargetMode="External"/><Relationship Id="rId5" Type="http://schemas.openxmlformats.org/officeDocument/2006/relationships/hyperlink" Target="http://www.forbeschina.com/review/201105/0009382.shtml" TargetMode="External"/><Relationship Id="rId6" Type="http://schemas.openxmlformats.org/officeDocument/2006/relationships/hyperlink" Target="http://www.docin.com/p-451691935.html" TargetMode="External"/><Relationship Id="rId1" Type="http://schemas.openxmlformats.org/officeDocument/2006/relationships/hyperlink" Target="http://www.escn.com.cn/2012/0116/120207.html" TargetMode="External"/><Relationship Id="rId2" Type="http://schemas.openxmlformats.org/officeDocument/2006/relationships/hyperlink" Target="http://news.xinhuanet.com/banyt/2004-04/08/content_140790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3FEC1D-B40B-BC4E-BF78-D1E1DBD10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110</Pages>
  <Words>21045</Words>
  <Characters>119958</Characters>
  <Application>Microsoft Macintosh Word</Application>
  <DocSecurity>0</DocSecurity>
  <Lines>999</Lines>
  <Paragraphs>281</Paragraphs>
  <ScaleCrop>false</ScaleCrop>
  <Company/>
  <LinksUpToDate>false</LinksUpToDate>
  <CharactersWithSpaces>140722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 Wang</dc:creator>
  <cp:keywords/>
  <dc:description/>
  <cp:lastModifiedBy>Man Wang</cp:lastModifiedBy>
  <cp:revision>1</cp:revision>
  <dcterms:created xsi:type="dcterms:W3CDTF">2014-08-12T06:12:00Z</dcterms:created>
  <dcterms:modified xsi:type="dcterms:W3CDTF">2014-08-12T06:23:00Z</dcterms:modified>
</cp:coreProperties>
</file>